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45" w:type="dxa"/>
        <w:tblInd w:w="108" w:type="dxa"/>
        <w:tblLayout w:type="fixed"/>
        <w:tblLook w:val="04A0" w:firstRow="1" w:lastRow="0" w:firstColumn="1" w:lastColumn="0" w:noHBand="0" w:noVBand="1"/>
      </w:tblPr>
      <w:tblGrid>
        <w:gridCol w:w="426"/>
        <w:gridCol w:w="2012"/>
        <w:gridCol w:w="6407"/>
      </w:tblGrid>
      <w:tr w:rsidR="00CE544A" w:rsidRPr="00975B07" w:rsidTr="001B16E2">
        <w:tc>
          <w:tcPr>
            <w:tcW w:w="2438" w:type="dxa"/>
            <w:gridSpan w:val="2"/>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7"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1B16E2">
        <w:tc>
          <w:tcPr>
            <w:tcW w:w="2438" w:type="dxa"/>
            <w:gridSpan w:val="2"/>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7" w:type="dxa"/>
            <w:shd w:val="clear" w:color="auto" w:fill="auto"/>
          </w:tcPr>
          <w:p w:rsidR="00F445B1" w:rsidRPr="001356F1" w:rsidRDefault="00EA1ADC" w:rsidP="007703CA">
            <w:pPr>
              <w:rPr>
                <w:b/>
              </w:rPr>
            </w:pPr>
            <w:r>
              <w:rPr>
                <w:rStyle w:val="Firstpagetablebold"/>
              </w:rPr>
              <w:t>1</w:t>
            </w:r>
            <w:r w:rsidR="007703CA">
              <w:rPr>
                <w:rStyle w:val="Firstpagetablebold"/>
              </w:rPr>
              <w:t>5 September</w:t>
            </w:r>
            <w:r w:rsidR="003B7DA1">
              <w:rPr>
                <w:rStyle w:val="Firstpagetablebold"/>
              </w:rPr>
              <w:t xml:space="preserve"> 201</w:t>
            </w:r>
            <w:r w:rsidR="007703CA">
              <w:rPr>
                <w:rStyle w:val="Firstpagetablebold"/>
              </w:rPr>
              <w:t>6</w:t>
            </w:r>
          </w:p>
        </w:tc>
      </w:tr>
      <w:tr w:rsidR="00CE544A" w:rsidRPr="00975B07" w:rsidTr="001B16E2">
        <w:tc>
          <w:tcPr>
            <w:tcW w:w="2438" w:type="dxa"/>
            <w:gridSpan w:val="2"/>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7" w:type="dxa"/>
            <w:shd w:val="clear" w:color="auto" w:fill="auto"/>
          </w:tcPr>
          <w:p w:rsidR="00F445B1" w:rsidRPr="001356F1" w:rsidRDefault="007703CA" w:rsidP="004A6D2F">
            <w:pPr>
              <w:rPr>
                <w:rStyle w:val="Firstpagetablebold"/>
              </w:rPr>
            </w:pPr>
            <w:r w:rsidRPr="007703CA">
              <w:rPr>
                <w:rStyle w:val="Firstpagetablebold"/>
              </w:rPr>
              <w:t>Head of Financial Services</w:t>
            </w:r>
          </w:p>
        </w:tc>
      </w:tr>
      <w:tr w:rsidR="00CE544A" w:rsidRPr="00975B07" w:rsidTr="001B16E2">
        <w:tc>
          <w:tcPr>
            <w:tcW w:w="2438" w:type="dxa"/>
            <w:gridSpan w:val="2"/>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7" w:type="dxa"/>
            <w:shd w:val="clear" w:color="auto" w:fill="auto"/>
          </w:tcPr>
          <w:p w:rsidR="00F445B1" w:rsidRPr="001356F1" w:rsidRDefault="007703CA" w:rsidP="004A6D2F">
            <w:pPr>
              <w:rPr>
                <w:rStyle w:val="Firstpagetablebold"/>
              </w:rPr>
            </w:pPr>
            <w:r w:rsidRPr="007703CA">
              <w:rPr>
                <w:rStyle w:val="Firstpagetablebold"/>
              </w:rPr>
              <w:t>Treasury Management Annual Report 2015/2016</w:t>
            </w:r>
          </w:p>
        </w:tc>
      </w:tr>
      <w:tr w:rsidR="00D5547E" w:rsidTr="001B16E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1B16E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5C4FF3" w:rsidP="001B6F05">
            <w:r w:rsidRPr="005C4FF3">
              <w:t>The report sets out the Council’s treasury management activity and performance for</w:t>
            </w:r>
            <w:r w:rsidR="00981D91">
              <w:t xml:space="preserve"> the financial year</w:t>
            </w:r>
            <w:r w:rsidRPr="005C4FF3">
              <w:t xml:space="preserve"> 2015/2016.</w:t>
            </w:r>
            <w:r w:rsidR="002766F5">
              <w:t xml:space="preserve">  The report also </w:t>
            </w:r>
            <w:r w:rsidR="001B6F05">
              <w:t xml:space="preserve">identifies some reductions in interest rates in 2016/17 and </w:t>
            </w:r>
            <w:r w:rsidR="002766F5">
              <w:t>recommends a change to the Treasury Strategy for 2016/17.</w:t>
            </w:r>
          </w:p>
        </w:tc>
      </w:tr>
      <w:tr w:rsidR="00D5547E" w:rsidTr="001B16E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5C4FF3" w:rsidRDefault="00D5547E" w:rsidP="005F7F7E">
            <w:pPr>
              <w:rPr>
                <w:color w:val="auto"/>
              </w:rPr>
            </w:pPr>
            <w:r w:rsidRPr="005C4FF3">
              <w:rPr>
                <w:color w:val="auto"/>
              </w:rPr>
              <w:t>No</w:t>
            </w:r>
          </w:p>
        </w:tc>
      </w:tr>
      <w:tr w:rsidR="00D5547E" w:rsidTr="001B16E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5C4FF3" w:rsidP="005F7F7E">
            <w:r w:rsidRPr="005C4FF3">
              <w:t>Councillor Ed Turner</w:t>
            </w:r>
            <w:r w:rsidR="00EA1ADC">
              <w:t>, Finance, Asset Management and Public Health</w:t>
            </w:r>
          </w:p>
        </w:tc>
      </w:tr>
      <w:tr w:rsidR="0080749A" w:rsidTr="001B16E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B80611" w:rsidP="005F7F7E">
            <w:r>
              <w:t>An Efficient and Effective Council</w:t>
            </w:r>
            <w:r w:rsidR="0080749A" w:rsidRPr="001356F1">
              <w:t>.</w:t>
            </w:r>
          </w:p>
        </w:tc>
      </w:tr>
      <w:tr w:rsidR="00D5547E" w:rsidTr="001B16E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B80611" w:rsidP="005F7F7E">
            <w:r>
              <w:t>Treasury Management Strategy</w:t>
            </w:r>
            <w:r w:rsidR="00D5547E" w:rsidRPr="001356F1">
              <w:t>.</w:t>
            </w:r>
          </w:p>
        </w:tc>
      </w:tr>
      <w:tr w:rsidR="005F7F7E" w:rsidRPr="00975B07" w:rsidTr="001B16E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3"/>
            <w:tcBorders>
              <w:bottom w:val="single" w:sz="8" w:space="0" w:color="000000"/>
            </w:tcBorders>
          </w:tcPr>
          <w:p w:rsidR="005F7F7E" w:rsidRPr="00975B07" w:rsidRDefault="00EA1ADC" w:rsidP="00EA1ADC">
            <w:r>
              <w:rPr>
                <w:rStyle w:val="Firstpagetablebold"/>
              </w:rPr>
              <w:t>Recommendations</w:t>
            </w:r>
            <w:r w:rsidR="005F7F7E">
              <w:rPr>
                <w:rStyle w:val="Firstpagetablebold"/>
              </w:rPr>
              <w:t>:</w:t>
            </w:r>
            <w:r>
              <w:rPr>
                <w:rStyle w:val="Firstpagetablebold"/>
              </w:rPr>
              <w:t xml:space="preserve"> </w:t>
            </w:r>
            <w:r w:rsidRPr="00EA1ADC">
              <w:rPr>
                <w:rStyle w:val="Firstpagetablebold"/>
                <w:b w:val="0"/>
              </w:rPr>
              <w:t>That the City Executive Board resolves to:</w:t>
            </w:r>
          </w:p>
        </w:tc>
      </w:tr>
      <w:tr w:rsidR="00B80611" w:rsidRPr="00975B07" w:rsidTr="001B16E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nil"/>
              <w:right w:val="nil"/>
            </w:tcBorders>
          </w:tcPr>
          <w:p w:rsidR="00B80611" w:rsidRPr="00975B07" w:rsidRDefault="00B80611" w:rsidP="002766F5">
            <w:r>
              <w:t>1</w:t>
            </w:r>
            <w:r w:rsidRPr="00975B07">
              <w:t>.</w:t>
            </w:r>
          </w:p>
        </w:tc>
        <w:tc>
          <w:tcPr>
            <w:tcW w:w="8419" w:type="dxa"/>
            <w:gridSpan w:val="2"/>
            <w:tcBorders>
              <w:top w:val="nil"/>
              <w:left w:val="nil"/>
              <w:bottom w:val="nil"/>
              <w:right w:val="single" w:sz="8" w:space="0" w:color="000000"/>
            </w:tcBorders>
            <w:shd w:val="clear" w:color="auto" w:fill="auto"/>
          </w:tcPr>
          <w:p w:rsidR="00B80611" w:rsidRPr="00EA1ADC" w:rsidRDefault="00B80611" w:rsidP="0077395B">
            <w:pPr>
              <w:rPr>
                <w:b/>
              </w:rPr>
            </w:pPr>
            <w:r w:rsidRPr="00EA1ADC">
              <w:rPr>
                <w:rStyle w:val="Firstpagetablebold"/>
              </w:rPr>
              <w:t>Note</w:t>
            </w:r>
            <w:r w:rsidRPr="00EA1ADC">
              <w:rPr>
                <w:rStyle w:val="Firstpagetablebold"/>
                <w:b w:val="0"/>
              </w:rPr>
              <w:t xml:space="preserve"> the report</w:t>
            </w:r>
          </w:p>
        </w:tc>
      </w:tr>
      <w:tr w:rsidR="00232F5B" w:rsidRPr="00975B07" w:rsidTr="001B16E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single" w:sz="8" w:space="0" w:color="000000"/>
              <w:right w:val="nil"/>
            </w:tcBorders>
          </w:tcPr>
          <w:p w:rsidR="0030208D" w:rsidRPr="00975B07" w:rsidRDefault="00B80611" w:rsidP="00B80611">
            <w:r>
              <w:t>2</w:t>
            </w:r>
            <w:r w:rsidR="00046D2B" w:rsidRPr="00975B07">
              <w:t>.</w:t>
            </w:r>
          </w:p>
        </w:tc>
        <w:tc>
          <w:tcPr>
            <w:tcW w:w="8419" w:type="dxa"/>
            <w:gridSpan w:val="2"/>
            <w:tcBorders>
              <w:top w:val="nil"/>
              <w:left w:val="nil"/>
              <w:bottom w:val="single" w:sz="8" w:space="0" w:color="000000"/>
              <w:right w:val="single" w:sz="8" w:space="0" w:color="000000"/>
            </w:tcBorders>
            <w:shd w:val="clear" w:color="auto" w:fill="auto"/>
          </w:tcPr>
          <w:p w:rsidR="00B80611" w:rsidRPr="00EA1ADC" w:rsidRDefault="00981D91" w:rsidP="00981D91">
            <w:pPr>
              <w:rPr>
                <w:b/>
              </w:rPr>
            </w:pPr>
            <w:r w:rsidRPr="00EA1ADC">
              <w:rPr>
                <w:rStyle w:val="Firstpagetablebold"/>
              </w:rPr>
              <w:t>Recommend that Council</w:t>
            </w:r>
            <w:r w:rsidRPr="00EA1ADC">
              <w:rPr>
                <w:rStyle w:val="Firstpagetablebold"/>
                <w:b w:val="0"/>
              </w:rPr>
              <w:t xml:space="preserve"> a</w:t>
            </w:r>
            <w:r w:rsidR="00B80611" w:rsidRPr="00EA1ADC">
              <w:rPr>
                <w:rStyle w:val="Firstpagetablebold"/>
                <w:b w:val="0"/>
              </w:rPr>
              <w:t>pprove the amendment to the Specified Investments list attached at Appendix 1</w:t>
            </w:r>
            <w:r w:rsidR="002766F5" w:rsidRPr="00EA1ADC">
              <w:rPr>
                <w:rStyle w:val="Firstpagetablebold"/>
                <w:b w:val="0"/>
              </w:rPr>
              <w:t xml:space="preserve"> (paragraphs 35 – 37</w:t>
            </w:r>
            <w:r w:rsidRPr="00EA1ADC">
              <w:rPr>
                <w:rStyle w:val="Firstpagetablebold"/>
                <w:b w:val="0"/>
              </w:rPr>
              <w:t xml:space="preserve"> below</w:t>
            </w:r>
            <w:r w:rsidR="002766F5" w:rsidRPr="00EA1ADC">
              <w:rPr>
                <w:rStyle w:val="Firstpagetablebold"/>
                <w:b w:val="0"/>
              </w:rPr>
              <w:t>)</w:t>
            </w:r>
          </w:p>
        </w:tc>
      </w:tr>
    </w:tbl>
    <w:p w:rsidR="00CE544A"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B80611" w:rsidRPr="00975B07" w:rsidTr="002766F5">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B80611" w:rsidRPr="00975B07" w:rsidRDefault="00B80611" w:rsidP="002766F5">
            <w:pPr>
              <w:jc w:val="center"/>
            </w:pPr>
            <w:r w:rsidRPr="00745BF0">
              <w:rPr>
                <w:rStyle w:val="Firstpagetablebold"/>
              </w:rPr>
              <w:t>Appendices</w:t>
            </w:r>
          </w:p>
        </w:tc>
      </w:tr>
      <w:tr w:rsidR="00B80611" w:rsidRPr="00975B07" w:rsidTr="002766F5">
        <w:tc>
          <w:tcPr>
            <w:tcW w:w="2438" w:type="dxa"/>
            <w:tcBorders>
              <w:top w:val="nil"/>
              <w:left w:val="single" w:sz="8" w:space="0" w:color="000000"/>
              <w:bottom w:val="single" w:sz="8" w:space="0" w:color="000000"/>
              <w:right w:val="nil"/>
            </w:tcBorders>
            <w:shd w:val="clear" w:color="auto" w:fill="auto"/>
          </w:tcPr>
          <w:p w:rsidR="00B80611" w:rsidRPr="00975B07" w:rsidRDefault="00B80611" w:rsidP="00B80611">
            <w:r w:rsidRPr="00975B07">
              <w:t xml:space="preserve">Appendix </w:t>
            </w:r>
            <w:r>
              <w:t>1</w:t>
            </w:r>
          </w:p>
        </w:tc>
        <w:tc>
          <w:tcPr>
            <w:tcW w:w="6406" w:type="dxa"/>
            <w:tcBorders>
              <w:top w:val="nil"/>
              <w:left w:val="nil"/>
              <w:bottom w:val="single" w:sz="8" w:space="0" w:color="000000"/>
              <w:right w:val="single" w:sz="8" w:space="0" w:color="000000"/>
            </w:tcBorders>
          </w:tcPr>
          <w:p w:rsidR="00B80611" w:rsidRPr="001356F1" w:rsidRDefault="00B80611" w:rsidP="002766F5">
            <w:r>
              <w:t xml:space="preserve">Amended </w:t>
            </w:r>
            <w:r w:rsidRPr="00B80611">
              <w:t>Specified Investments List</w:t>
            </w:r>
          </w:p>
        </w:tc>
      </w:tr>
    </w:tbl>
    <w:p w:rsidR="0040736F" w:rsidRPr="001356F1" w:rsidRDefault="005C4FF3" w:rsidP="004A6D2F">
      <w:pPr>
        <w:pStyle w:val="Heading1"/>
      </w:pPr>
      <w:r>
        <w:t>Executive Summary</w:t>
      </w:r>
    </w:p>
    <w:p w:rsidR="00E87F7A" w:rsidRDefault="005C4FF3" w:rsidP="005C4FF3">
      <w:pPr>
        <w:pStyle w:val="ListParagraph"/>
      </w:pPr>
      <w:r w:rsidRPr="005C4FF3">
        <w:t xml:space="preserve">The Council held investments of £64.26 million as at </w:t>
      </w:r>
      <w:r w:rsidR="00EA1ADC">
        <w:t>31</w:t>
      </w:r>
      <w:r w:rsidRPr="005C4FF3">
        <w:t xml:space="preserve"> March 2016.  Interest earned during the year was £0.86 million against an income target of £0.94 million.</w:t>
      </w:r>
    </w:p>
    <w:p w:rsidR="005C4FF3" w:rsidRDefault="005C4FF3" w:rsidP="005C4FF3">
      <w:pPr>
        <w:pStyle w:val="ListParagraph"/>
      </w:pPr>
      <w:r w:rsidRPr="005C4FF3">
        <w:t>The average rate of return on the Council’s investments in 2015/2016 was 1.17% compared to 1.18% in 2014/15. This was above the Council’s performance target of 1.0% (i.e. 0.5% above base rate) and</w:t>
      </w:r>
      <w:r w:rsidR="001C2FA1">
        <w:t xml:space="preserve"> is</w:t>
      </w:r>
      <w:r w:rsidRPr="005C4FF3">
        <w:t xml:space="preserve"> primarily due to investments in property funds </w:t>
      </w:r>
      <w:r w:rsidR="002D4552">
        <w:t>off</w:t>
      </w:r>
      <w:r w:rsidR="001C2FA1">
        <w:t>-</w:t>
      </w:r>
      <w:r w:rsidR="002D4552">
        <w:t xml:space="preserve">setting </w:t>
      </w:r>
      <w:r w:rsidRPr="005C4FF3">
        <w:t xml:space="preserve">market investment rates </w:t>
      </w:r>
      <w:r w:rsidR="001C2FA1">
        <w:t xml:space="preserve">which </w:t>
      </w:r>
      <w:r w:rsidRPr="005C4FF3">
        <w:t>have fallen to very low levels.</w:t>
      </w:r>
    </w:p>
    <w:p w:rsidR="005C4FF3" w:rsidRDefault="005C4FF3" w:rsidP="005C4FF3">
      <w:pPr>
        <w:pStyle w:val="ListParagraph"/>
      </w:pPr>
      <w:r w:rsidRPr="005C4FF3">
        <w:t>The Council has £0.166 million outstanding with the failed Icelandic Banks.  £0.217 million was received in year, and it is expected that the majority of the remaining funds will be received in due course.  Further information can be found in paragraphs 2</w:t>
      </w:r>
      <w:r w:rsidR="00DA63F7">
        <w:t>5</w:t>
      </w:r>
      <w:r w:rsidRPr="005C4FF3">
        <w:t>-2</w:t>
      </w:r>
      <w:r w:rsidR="00DA63F7">
        <w:t>7</w:t>
      </w:r>
      <w:r w:rsidRPr="005C4FF3">
        <w:t>.</w:t>
      </w:r>
    </w:p>
    <w:p w:rsidR="005C4FF3" w:rsidRPr="001356F1" w:rsidRDefault="005C4FF3" w:rsidP="005C4FF3">
      <w:pPr>
        <w:pStyle w:val="ListParagraph"/>
      </w:pPr>
      <w:r w:rsidRPr="005C4FF3">
        <w:t xml:space="preserve">The Council held £198.5 million of fixed rate Public Works Loan Board (PWLB) debt as at </w:t>
      </w:r>
      <w:r w:rsidR="00EA1ADC">
        <w:t>31</w:t>
      </w:r>
      <w:r w:rsidRPr="005C4FF3">
        <w:t xml:space="preserve"> March 2016.  The debt was borrowed in March 2012 to fund the buy-</w:t>
      </w:r>
      <w:r w:rsidRPr="005C4FF3">
        <w:lastRenderedPageBreak/>
        <w:t>out of the Housing Revenue Account (HRA). All of the debt relates to Housing and the maturity profile ranges from 5 to 41 years.  Interest paid on the debt in 2015/2016 was £6.47 million</w:t>
      </w:r>
      <w:r>
        <w:t>.</w:t>
      </w:r>
    </w:p>
    <w:p w:rsidR="00633578" w:rsidRPr="001356F1" w:rsidRDefault="00841F4D" w:rsidP="00E87F7A">
      <w:pPr>
        <w:pStyle w:val="Heading1"/>
      </w:pPr>
      <w:r w:rsidRPr="00841F4D">
        <w:t>Background</w:t>
      </w:r>
    </w:p>
    <w:p w:rsidR="00E87F7A" w:rsidRDefault="00841F4D" w:rsidP="00841F4D">
      <w:pPr>
        <w:pStyle w:val="bParagraphtext"/>
      </w:pPr>
      <w:r w:rsidRPr="00841F4D">
        <w:t xml:space="preserve">The primary principle governing the Council’s investment </w:t>
      </w:r>
      <w:r w:rsidR="002A37DD">
        <w:t>decisions</w:t>
      </w:r>
      <w:r w:rsidRPr="00841F4D">
        <w:t xml:space="preserve"> is </w:t>
      </w:r>
      <w:r w:rsidR="002A37DD">
        <w:t xml:space="preserve">the </w:t>
      </w:r>
      <w:r w:rsidRPr="00841F4D">
        <w:t>Security of</w:t>
      </w:r>
      <w:r w:rsidR="002A37DD">
        <w:t xml:space="preserve"> the</w:t>
      </w:r>
      <w:r w:rsidRPr="00841F4D">
        <w:t xml:space="preserve"> investment, with Liquidity and Yield being secondary considerations.</w:t>
      </w:r>
    </w:p>
    <w:p w:rsidR="00841F4D" w:rsidRDefault="00841F4D" w:rsidP="00841F4D">
      <w:pPr>
        <w:pStyle w:val="bParagraphtext"/>
        <w:rPr>
          <w:rStyle w:val="ListParagraphChar"/>
        </w:rPr>
      </w:pPr>
      <w:r w:rsidRPr="00841F4D">
        <w:rPr>
          <w:rStyle w:val="ListParagraphChar"/>
        </w:rPr>
        <w:t>The Council has a statutory duty to set, monitor and report on its prudential indicators in accordance with the Prudential Code, which aims to ensure that the capital investment plans of authorities are affordable, prudent and sustainable.</w:t>
      </w:r>
    </w:p>
    <w:p w:rsidR="00841F4D" w:rsidRDefault="00841F4D" w:rsidP="00841F4D">
      <w:pPr>
        <w:pStyle w:val="bParagraphtext"/>
        <w:rPr>
          <w:rStyle w:val="ListParagraphChar"/>
        </w:rPr>
      </w:pPr>
      <w:r w:rsidRPr="00841F4D">
        <w:rPr>
          <w:rStyle w:val="ListParagraphChar"/>
        </w:rPr>
        <w:t>When considering whether to borrow, the Council’s Debt Strategy requires a number of factors to be considered. These include:</w:t>
      </w:r>
    </w:p>
    <w:p w:rsidR="00841F4D" w:rsidRPr="002D39E2" w:rsidRDefault="00841F4D" w:rsidP="00841F4D">
      <w:pPr>
        <w:numPr>
          <w:ilvl w:val="2"/>
          <w:numId w:val="34"/>
        </w:numPr>
        <w:tabs>
          <w:tab w:val="clear" w:pos="1800"/>
        </w:tabs>
        <w:spacing w:after="0"/>
        <w:ind w:left="1134" w:hanging="425"/>
      </w:pPr>
      <w:r w:rsidRPr="002D39E2">
        <w:t>prevailing interest rates</w:t>
      </w:r>
    </w:p>
    <w:p w:rsidR="00841F4D" w:rsidRPr="002D39E2" w:rsidRDefault="00841F4D" w:rsidP="00841F4D">
      <w:pPr>
        <w:numPr>
          <w:ilvl w:val="2"/>
          <w:numId w:val="34"/>
        </w:numPr>
        <w:tabs>
          <w:tab w:val="clear" w:pos="1800"/>
        </w:tabs>
        <w:spacing w:after="0"/>
        <w:ind w:left="1134" w:hanging="425"/>
      </w:pPr>
      <w:r w:rsidRPr="002D39E2">
        <w:t xml:space="preserve">the profile of the Council’s </w:t>
      </w:r>
      <w:r>
        <w:t xml:space="preserve">debt </w:t>
      </w:r>
      <w:r w:rsidRPr="002D39E2">
        <w:t>portfolio</w:t>
      </w:r>
    </w:p>
    <w:p w:rsidR="00841F4D" w:rsidRPr="002D39E2" w:rsidRDefault="00841F4D" w:rsidP="00841F4D">
      <w:pPr>
        <w:numPr>
          <w:ilvl w:val="2"/>
          <w:numId w:val="34"/>
        </w:numPr>
        <w:tabs>
          <w:tab w:val="clear" w:pos="1800"/>
        </w:tabs>
        <w:spacing w:after="0"/>
        <w:ind w:left="1134" w:hanging="425"/>
      </w:pPr>
      <w:r w:rsidRPr="002D39E2">
        <w:t>the type of asset being financed</w:t>
      </w:r>
    </w:p>
    <w:p w:rsidR="00841F4D" w:rsidRPr="003C7A90" w:rsidRDefault="00841F4D" w:rsidP="00841F4D">
      <w:pPr>
        <w:numPr>
          <w:ilvl w:val="1"/>
          <w:numId w:val="34"/>
        </w:numPr>
        <w:tabs>
          <w:tab w:val="clear" w:pos="1080"/>
        </w:tabs>
        <w:spacing w:after="0"/>
        <w:ind w:left="1134" w:hanging="414"/>
      </w:pPr>
      <w:proofErr w:type="gramStart"/>
      <w:r>
        <w:t>t</w:t>
      </w:r>
      <w:r w:rsidRPr="003C7A90">
        <w:t>he</w:t>
      </w:r>
      <w:proofErr w:type="gramEnd"/>
      <w:r w:rsidRPr="003C7A90">
        <w:t xml:space="preserve"> availability of cash balances to finance capital expenditure. </w:t>
      </w:r>
    </w:p>
    <w:p w:rsidR="00841F4D" w:rsidRPr="001356F1" w:rsidRDefault="00841F4D" w:rsidP="00841F4D">
      <w:pPr>
        <w:pStyle w:val="bParagraphtext"/>
        <w:numPr>
          <w:ilvl w:val="0"/>
          <w:numId w:val="0"/>
        </w:numPr>
        <w:ind w:left="426"/>
        <w:rPr>
          <w:rStyle w:val="ListParagraphChar"/>
        </w:rPr>
      </w:pPr>
    </w:p>
    <w:p w:rsidR="00E87F7A" w:rsidRDefault="00841F4D" w:rsidP="00841F4D">
      <w:pPr>
        <w:pStyle w:val="bParagraphtext"/>
      </w:pPr>
      <w:r w:rsidRPr="00841F4D">
        <w:t>The Council fully complied with its Treasury Management Strategy in relation to both debt and investment management in 2015/2016.</w:t>
      </w:r>
    </w:p>
    <w:p w:rsidR="00841F4D" w:rsidRDefault="00841F4D" w:rsidP="00841F4D">
      <w:pPr>
        <w:pStyle w:val="bParagraphtext"/>
      </w:pPr>
      <w:r w:rsidRPr="00841F4D">
        <w:t>The prudential indicators detailed in the body of this report compare the Council’s outturn position against the target set</w:t>
      </w:r>
      <w:r w:rsidR="002A37DD">
        <w:t xml:space="preserve"> for 2015/16</w:t>
      </w:r>
      <w:r w:rsidRPr="00841F4D">
        <w:t>.</w:t>
      </w:r>
    </w:p>
    <w:p w:rsidR="00841F4D" w:rsidRPr="00F94D74" w:rsidRDefault="00841F4D" w:rsidP="00841F4D">
      <w:pPr>
        <w:rPr>
          <w:b/>
          <w:i/>
        </w:rPr>
      </w:pPr>
      <w:r>
        <w:rPr>
          <w:b/>
        </w:rPr>
        <w:t>Financing the Capital Programme 2015/16</w:t>
      </w:r>
    </w:p>
    <w:p w:rsidR="00E87F7A" w:rsidRDefault="000B39A5" w:rsidP="005570B5">
      <w:pPr>
        <w:pStyle w:val="bParagraphtext"/>
      </w:pPr>
      <w:r w:rsidRPr="000B39A5">
        <w:t>Table 1 below shows actual capital expenditure and financing compared to the original budget.</w:t>
      </w:r>
    </w:p>
    <w:p w:rsidR="000B39A5" w:rsidRPr="000B39A5" w:rsidRDefault="000B39A5" w:rsidP="000B39A5">
      <w:pPr>
        <w:spacing w:after="0"/>
        <w:ind w:left="720"/>
        <w:rPr>
          <w:b/>
          <w:color w:val="auto"/>
          <w:lang w:eastAsia="en-US"/>
        </w:rPr>
      </w:pPr>
      <w:r w:rsidRPr="000B39A5">
        <w:rPr>
          <w:b/>
          <w:color w:val="auto"/>
          <w:lang w:eastAsia="en-US"/>
        </w:rPr>
        <w:t>Table 1</w:t>
      </w:r>
    </w:p>
    <w:tbl>
      <w:tblPr>
        <w:tblW w:w="6930" w:type="dxa"/>
        <w:tblInd w:w="720" w:type="dxa"/>
        <w:tblLook w:val="04A0" w:firstRow="1" w:lastRow="0" w:firstColumn="1" w:lastColumn="0" w:noHBand="0" w:noVBand="1"/>
      </w:tblPr>
      <w:tblGrid>
        <w:gridCol w:w="3220"/>
        <w:gridCol w:w="1276"/>
        <w:gridCol w:w="1276"/>
        <w:gridCol w:w="1158"/>
      </w:tblGrid>
      <w:tr w:rsidR="000B39A5" w:rsidRPr="000B39A5" w:rsidTr="000B39A5">
        <w:trPr>
          <w:trHeight w:val="300"/>
        </w:trPr>
        <w:tc>
          <w:tcPr>
            <w:tcW w:w="3220" w:type="dxa"/>
            <w:tcBorders>
              <w:top w:val="single" w:sz="4" w:space="0" w:color="auto"/>
              <w:left w:val="single" w:sz="4" w:space="0" w:color="auto"/>
              <w:bottom w:val="nil"/>
              <w:right w:val="single" w:sz="4" w:space="0" w:color="auto"/>
            </w:tcBorders>
            <w:shd w:val="clear" w:color="000000" w:fill="D9D9D9"/>
            <w:noWrap/>
            <w:vAlign w:val="bottom"/>
            <w:hideMark/>
          </w:tcPr>
          <w:p w:rsidR="000B39A5" w:rsidRPr="000B39A5" w:rsidRDefault="000B39A5" w:rsidP="000B39A5">
            <w:pPr>
              <w:spacing w:after="0"/>
              <w:rPr>
                <w:rFonts w:cs="Arial"/>
                <w:b/>
                <w:bCs/>
                <w:color w:val="auto"/>
                <w:sz w:val="22"/>
                <w:szCs w:val="22"/>
              </w:rPr>
            </w:pPr>
            <w:r w:rsidRPr="000B39A5">
              <w:rPr>
                <w:rFonts w:cs="Arial"/>
                <w:b/>
                <w:bCs/>
                <w:color w:val="auto"/>
                <w:sz w:val="22"/>
                <w:szCs w:val="22"/>
              </w:rPr>
              <w:t>Capital Expenditure</w:t>
            </w:r>
          </w:p>
        </w:tc>
        <w:tc>
          <w:tcPr>
            <w:tcW w:w="1276" w:type="dxa"/>
            <w:tcBorders>
              <w:top w:val="single" w:sz="4" w:space="0" w:color="auto"/>
              <w:left w:val="single" w:sz="4" w:space="0" w:color="auto"/>
              <w:bottom w:val="nil"/>
              <w:right w:val="single" w:sz="4" w:space="0" w:color="auto"/>
            </w:tcBorders>
            <w:shd w:val="clear" w:color="000000" w:fill="D9D9D9"/>
            <w:noWrap/>
            <w:vAlign w:val="bottom"/>
            <w:hideMark/>
          </w:tcPr>
          <w:p w:rsidR="000B39A5" w:rsidRPr="000B39A5" w:rsidRDefault="000B39A5" w:rsidP="000B39A5">
            <w:pPr>
              <w:spacing w:after="0"/>
              <w:jc w:val="center"/>
              <w:rPr>
                <w:rFonts w:cs="Arial"/>
                <w:b/>
                <w:bCs/>
                <w:color w:val="auto"/>
                <w:sz w:val="22"/>
                <w:szCs w:val="22"/>
              </w:rPr>
            </w:pPr>
            <w:r w:rsidRPr="000B39A5">
              <w:rPr>
                <w:rFonts w:cs="Arial"/>
                <w:b/>
                <w:bCs/>
                <w:color w:val="auto"/>
                <w:sz w:val="22"/>
                <w:szCs w:val="22"/>
              </w:rPr>
              <w:t>2015/16</w:t>
            </w:r>
          </w:p>
        </w:tc>
        <w:tc>
          <w:tcPr>
            <w:tcW w:w="1276" w:type="dxa"/>
            <w:tcBorders>
              <w:top w:val="single" w:sz="4" w:space="0" w:color="auto"/>
              <w:left w:val="nil"/>
              <w:bottom w:val="nil"/>
              <w:right w:val="single" w:sz="4" w:space="0" w:color="auto"/>
            </w:tcBorders>
            <w:shd w:val="clear" w:color="000000" w:fill="D9D9D9"/>
            <w:noWrap/>
            <w:vAlign w:val="bottom"/>
            <w:hideMark/>
          </w:tcPr>
          <w:p w:rsidR="000B39A5" w:rsidRPr="000B39A5" w:rsidRDefault="000B39A5" w:rsidP="000B39A5">
            <w:pPr>
              <w:spacing w:after="0"/>
              <w:jc w:val="center"/>
              <w:rPr>
                <w:rFonts w:cs="Arial"/>
                <w:b/>
                <w:bCs/>
                <w:color w:val="auto"/>
                <w:sz w:val="22"/>
                <w:szCs w:val="22"/>
              </w:rPr>
            </w:pPr>
            <w:r w:rsidRPr="000B39A5">
              <w:rPr>
                <w:rFonts w:cs="Arial"/>
                <w:b/>
                <w:bCs/>
                <w:color w:val="auto"/>
                <w:sz w:val="22"/>
                <w:szCs w:val="22"/>
              </w:rPr>
              <w:t>2015/16</w:t>
            </w:r>
          </w:p>
        </w:tc>
        <w:tc>
          <w:tcPr>
            <w:tcW w:w="1158" w:type="dxa"/>
            <w:tcBorders>
              <w:top w:val="single" w:sz="4" w:space="0" w:color="auto"/>
              <w:left w:val="nil"/>
              <w:bottom w:val="nil"/>
              <w:right w:val="single" w:sz="4" w:space="0" w:color="auto"/>
            </w:tcBorders>
            <w:shd w:val="clear" w:color="000000" w:fill="D9D9D9"/>
            <w:noWrap/>
            <w:vAlign w:val="bottom"/>
            <w:hideMark/>
          </w:tcPr>
          <w:p w:rsidR="000B39A5" w:rsidRPr="000B39A5" w:rsidRDefault="000B39A5" w:rsidP="000B39A5">
            <w:pPr>
              <w:spacing w:after="0"/>
              <w:jc w:val="center"/>
              <w:rPr>
                <w:rFonts w:cs="Arial"/>
                <w:b/>
                <w:bCs/>
                <w:color w:val="auto"/>
                <w:sz w:val="22"/>
                <w:szCs w:val="22"/>
              </w:rPr>
            </w:pPr>
            <w:r w:rsidRPr="000B39A5">
              <w:rPr>
                <w:rFonts w:cs="Arial"/>
                <w:b/>
                <w:bCs/>
                <w:color w:val="auto"/>
                <w:sz w:val="22"/>
                <w:szCs w:val="22"/>
              </w:rPr>
              <w:t>Variation</w:t>
            </w:r>
          </w:p>
        </w:tc>
      </w:tr>
      <w:tr w:rsidR="000B39A5" w:rsidRPr="000B39A5" w:rsidTr="000B39A5">
        <w:trPr>
          <w:trHeight w:val="300"/>
        </w:trPr>
        <w:tc>
          <w:tcPr>
            <w:tcW w:w="3220" w:type="dxa"/>
            <w:tcBorders>
              <w:top w:val="nil"/>
              <w:left w:val="single" w:sz="4" w:space="0" w:color="auto"/>
              <w:bottom w:val="nil"/>
              <w:right w:val="single" w:sz="4" w:space="0" w:color="auto"/>
            </w:tcBorders>
            <w:shd w:val="clear" w:color="000000" w:fill="D9D9D9"/>
            <w:noWrap/>
            <w:vAlign w:val="bottom"/>
            <w:hideMark/>
          </w:tcPr>
          <w:p w:rsidR="000B39A5" w:rsidRPr="000B39A5" w:rsidRDefault="000B39A5" w:rsidP="000B39A5">
            <w:pPr>
              <w:spacing w:after="0"/>
              <w:rPr>
                <w:rFonts w:cs="Arial"/>
                <w:b/>
                <w:bCs/>
                <w:color w:val="auto"/>
                <w:sz w:val="22"/>
                <w:szCs w:val="22"/>
              </w:rPr>
            </w:pPr>
            <w:r w:rsidRPr="000B39A5">
              <w:rPr>
                <w:rFonts w:cs="Arial"/>
                <w:b/>
                <w:bCs/>
                <w:color w:val="auto"/>
                <w:sz w:val="22"/>
                <w:szCs w:val="22"/>
              </w:rPr>
              <w:t> </w:t>
            </w:r>
          </w:p>
        </w:tc>
        <w:tc>
          <w:tcPr>
            <w:tcW w:w="1276" w:type="dxa"/>
            <w:tcBorders>
              <w:top w:val="nil"/>
              <w:left w:val="single" w:sz="4" w:space="0" w:color="auto"/>
              <w:bottom w:val="nil"/>
              <w:right w:val="single" w:sz="4" w:space="0" w:color="auto"/>
            </w:tcBorders>
            <w:shd w:val="clear" w:color="000000" w:fill="D9D9D9"/>
            <w:noWrap/>
            <w:vAlign w:val="bottom"/>
            <w:hideMark/>
          </w:tcPr>
          <w:p w:rsidR="000B39A5" w:rsidRPr="000B39A5" w:rsidRDefault="00C63CDF" w:rsidP="000B39A5">
            <w:pPr>
              <w:spacing w:after="0"/>
              <w:jc w:val="center"/>
              <w:rPr>
                <w:rFonts w:cs="Arial"/>
                <w:b/>
                <w:bCs/>
                <w:color w:val="auto"/>
                <w:sz w:val="22"/>
                <w:szCs w:val="22"/>
              </w:rPr>
            </w:pPr>
            <w:r>
              <w:rPr>
                <w:rFonts w:cs="Arial"/>
                <w:b/>
                <w:bCs/>
                <w:color w:val="auto"/>
                <w:sz w:val="22"/>
                <w:szCs w:val="22"/>
              </w:rPr>
              <w:t>Original</w:t>
            </w:r>
            <w:r w:rsidR="00E94DFB">
              <w:rPr>
                <w:rFonts w:cs="Arial"/>
                <w:b/>
                <w:bCs/>
                <w:color w:val="auto"/>
                <w:sz w:val="22"/>
                <w:szCs w:val="22"/>
              </w:rPr>
              <w:t xml:space="preserve"> </w:t>
            </w:r>
            <w:r w:rsidR="000B39A5" w:rsidRPr="000B39A5">
              <w:rPr>
                <w:rFonts w:cs="Arial"/>
                <w:b/>
                <w:bCs/>
                <w:color w:val="auto"/>
                <w:sz w:val="22"/>
                <w:szCs w:val="22"/>
              </w:rPr>
              <w:t>Budget</w:t>
            </w:r>
          </w:p>
        </w:tc>
        <w:tc>
          <w:tcPr>
            <w:tcW w:w="1276" w:type="dxa"/>
            <w:tcBorders>
              <w:top w:val="nil"/>
              <w:left w:val="nil"/>
              <w:bottom w:val="nil"/>
              <w:right w:val="single" w:sz="4" w:space="0" w:color="auto"/>
            </w:tcBorders>
            <w:shd w:val="clear" w:color="000000" w:fill="D9D9D9"/>
            <w:noWrap/>
            <w:vAlign w:val="bottom"/>
            <w:hideMark/>
          </w:tcPr>
          <w:p w:rsidR="000B39A5" w:rsidRPr="000B39A5" w:rsidRDefault="000B39A5" w:rsidP="000B39A5">
            <w:pPr>
              <w:spacing w:after="0"/>
              <w:jc w:val="center"/>
              <w:rPr>
                <w:rFonts w:cs="Arial"/>
                <w:b/>
                <w:bCs/>
                <w:color w:val="auto"/>
                <w:sz w:val="22"/>
                <w:szCs w:val="22"/>
              </w:rPr>
            </w:pPr>
            <w:r w:rsidRPr="000B39A5">
              <w:rPr>
                <w:rFonts w:cs="Arial"/>
                <w:b/>
                <w:bCs/>
                <w:color w:val="auto"/>
                <w:sz w:val="22"/>
                <w:szCs w:val="22"/>
              </w:rPr>
              <w:t>Actual</w:t>
            </w:r>
          </w:p>
        </w:tc>
        <w:tc>
          <w:tcPr>
            <w:tcW w:w="1158" w:type="dxa"/>
            <w:tcBorders>
              <w:top w:val="nil"/>
              <w:left w:val="nil"/>
              <w:bottom w:val="nil"/>
              <w:right w:val="single" w:sz="4" w:space="0" w:color="auto"/>
            </w:tcBorders>
            <w:shd w:val="clear" w:color="000000" w:fill="D9D9D9"/>
            <w:noWrap/>
            <w:vAlign w:val="bottom"/>
            <w:hideMark/>
          </w:tcPr>
          <w:p w:rsidR="000B39A5" w:rsidRPr="000B39A5" w:rsidRDefault="000B39A5" w:rsidP="000B39A5">
            <w:pPr>
              <w:spacing w:after="0"/>
              <w:jc w:val="center"/>
              <w:rPr>
                <w:rFonts w:cs="Arial"/>
                <w:b/>
                <w:bCs/>
                <w:color w:val="auto"/>
                <w:sz w:val="22"/>
                <w:szCs w:val="22"/>
              </w:rPr>
            </w:pPr>
            <w:r w:rsidRPr="000B39A5">
              <w:rPr>
                <w:rFonts w:cs="Arial"/>
                <w:b/>
                <w:bCs/>
                <w:color w:val="auto"/>
                <w:sz w:val="22"/>
                <w:szCs w:val="22"/>
              </w:rPr>
              <w:t> </w:t>
            </w:r>
          </w:p>
        </w:tc>
      </w:tr>
      <w:tr w:rsidR="000B39A5" w:rsidRPr="000B39A5" w:rsidTr="000B39A5">
        <w:trPr>
          <w:trHeight w:val="300"/>
        </w:trPr>
        <w:tc>
          <w:tcPr>
            <w:tcW w:w="3220" w:type="dxa"/>
            <w:tcBorders>
              <w:top w:val="nil"/>
              <w:left w:val="single" w:sz="4" w:space="0" w:color="auto"/>
              <w:bottom w:val="single" w:sz="4" w:space="0" w:color="auto"/>
              <w:right w:val="single" w:sz="4" w:space="0" w:color="auto"/>
            </w:tcBorders>
            <w:shd w:val="clear" w:color="000000" w:fill="D9D9D9"/>
            <w:noWrap/>
            <w:vAlign w:val="bottom"/>
            <w:hideMark/>
          </w:tcPr>
          <w:p w:rsidR="000B39A5" w:rsidRPr="000B39A5" w:rsidRDefault="000B39A5" w:rsidP="000B39A5">
            <w:pPr>
              <w:spacing w:after="0"/>
              <w:rPr>
                <w:rFonts w:cs="Arial"/>
                <w:b/>
                <w:bCs/>
                <w:color w:val="auto"/>
                <w:sz w:val="22"/>
                <w:szCs w:val="22"/>
              </w:rPr>
            </w:pPr>
            <w:r w:rsidRPr="000B39A5">
              <w:rPr>
                <w:rFonts w:cs="Arial"/>
                <w:b/>
                <w:bCs/>
                <w:color w:val="auto"/>
                <w:sz w:val="22"/>
                <w:szCs w:val="22"/>
              </w:rPr>
              <w:t> </w:t>
            </w:r>
          </w:p>
        </w:tc>
        <w:tc>
          <w:tcPr>
            <w:tcW w:w="1276" w:type="dxa"/>
            <w:tcBorders>
              <w:top w:val="nil"/>
              <w:left w:val="single" w:sz="4" w:space="0" w:color="auto"/>
              <w:bottom w:val="single" w:sz="4" w:space="0" w:color="auto"/>
              <w:right w:val="single" w:sz="4" w:space="0" w:color="auto"/>
            </w:tcBorders>
            <w:shd w:val="clear" w:color="000000" w:fill="D9D9D9"/>
            <w:noWrap/>
            <w:vAlign w:val="bottom"/>
            <w:hideMark/>
          </w:tcPr>
          <w:p w:rsidR="000B39A5" w:rsidRPr="000B39A5" w:rsidRDefault="000B39A5" w:rsidP="000B39A5">
            <w:pPr>
              <w:spacing w:after="0"/>
              <w:jc w:val="center"/>
              <w:rPr>
                <w:rFonts w:cs="Arial"/>
                <w:b/>
                <w:bCs/>
                <w:color w:val="auto"/>
                <w:sz w:val="22"/>
                <w:szCs w:val="22"/>
              </w:rPr>
            </w:pPr>
            <w:r w:rsidRPr="000B39A5">
              <w:rPr>
                <w:rFonts w:cs="Arial"/>
                <w:b/>
                <w:bCs/>
                <w:color w:val="auto"/>
                <w:sz w:val="22"/>
                <w:szCs w:val="22"/>
              </w:rPr>
              <w:t>£'000</w:t>
            </w:r>
          </w:p>
        </w:tc>
        <w:tc>
          <w:tcPr>
            <w:tcW w:w="1276" w:type="dxa"/>
            <w:tcBorders>
              <w:top w:val="nil"/>
              <w:left w:val="nil"/>
              <w:bottom w:val="single" w:sz="4" w:space="0" w:color="auto"/>
              <w:right w:val="single" w:sz="4" w:space="0" w:color="auto"/>
            </w:tcBorders>
            <w:shd w:val="clear" w:color="000000" w:fill="D9D9D9"/>
            <w:noWrap/>
            <w:vAlign w:val="bottom"/>
            <w:hideMark/>
          </w:tcPr>
          <w:p w:rsidR="000B39A5" w:rsidRPr="000B39A5" w:rsidRDefault="000B39A5" w:rsidP="000B39A5">
            <w:pPr>
              <w:spacing w:after="0"/>
              <w:jc w:val="center"/>
              <w:rPr>
                <w:rFonts w:cs="Arial"/>
                <w:b/>
                <w:bCs/>
                <w:color w:val="auto"/>
                <w:sz w:val="22"/>
                <w:szCs w:val="22"/>
              </w:rPr>
            </w:pPr>
            <w:r w:rsidRPr="000B39A5">
              <w:rPr>
                <w:rFonts w:cs="Arial"/>
                <w:b/>
                <w:bCs/>
                <w:color w:val="auto"/>
                <w:sz w:val="22"/>
                <w:szCs w:val="22"/>
              </w:rPr>
              <w:t>£'000</w:t>
            </w:r>
          </w:p>
        </w:tc>
        <w:tc>
          <w:tcPr>
            <w:tcW w:w="1158" w:type="dxa"/>
            <w:tcBorders>
              <w:top w:val="nil"/>
              <w:left w:val="nil"/>
              <w:bottom w:val="single" w:sz="4" w:space="0" w:color="auto"/>
              <w:right w:val="single" w:sz="4" w:space="0" w:color="auto"/>
            </w:tcBorders>
            <w:shd w:val="clear" w:color="000000" w:fill="D9D9D9"/>
            <w:noWrap/>
            <w:vAlign w:val="bottom"/>
            <w:hideMark/>
          </w:tcPr>
          <w:p w:rsidR="000B39A5" w:rsidRPr="000B39A5" w:rsidRDefault="000B39A5" w:rsidP="000B39A5">
            <w:pPr>
              <w:spacing w:after="0"/>
              <w:jc w:val="center"/>
              <w:rPr>
                <w:rFonts w:cs="Arial"/>
                <w:b/>
                <w:bCs/>
                <w:color w:val="auto"/>
                <w:sz w:val="22"/>
                <w:szCs w:val="22"/>
              </w:rPr>
            </w:pPr>
            <w:r w:rsidRPr="000B39A5">
              <w:rPr>
                <w:rFonts w:cs="Arial"/>
                <w:b/>
                <w:bCs/>
                <w:color w:val="auto"/>
                <w:sz w:val="22"/>
                <w:szCs w:val="22"/>
              </w:rPr>
              <w:t>£'000</w:t>
            </w:r>
          </w:p>
        </w:tc>
      </w:tr>
      <w:tr w:rsidR="000B39A5" w:rsidRPr="000B39A5" w:rsidTr="000B39A5">
        <w:trPr>
          <w:trHeight w:val="285"/>
        </w:trPr>
        <w:tc>
          <w:tcPr>
            <w:tcW w:w="3220" w:type="dxa"/>
            <w:tcBorders>
              <w:top w:val="nil"/>
              <w:left w:val="single" w:sz="4" w:space="0" w:color="auto"/>
              <w:bottom w:val="nil"/>
              <w:right w:val="single" w:sz="4" w:space="0" w:color="auto"/>
            </w:tcBorders>
            <w:shd w:val="clear" w:color="auto" w:fill="auto"/>
            <w:noWrap/>
            <w:vAlign w:val="bottom"/>
            <w:hideMark/>
          </w:tcPr>
          <w:p w:rsidR="000B39A5" w:rsidRPr="000B39A5" w:rsidRDefault="000B39A5" w:rsidP="000B39A5">
            <w:pPr>
              <w:spacing w:after="0"/>
              <w:rPr>
                <w:rFonts w:cs="Arial"/>
                <w:color w:val="auto"/>
                <w:sz w:val="22"/>
                <w:szCs w:val="22"/>
              </w:rPr>
            </w:pPr>
            <w:r w:rsidRPr="000B39A5">
              <w:rPr>
                <w:rFonts w:cs="Arial"/>
                <w:color w:val="auto"/>
                <w:sz w:val="22"/>
                <w:szCs w:val="22"/>
              </w:rPr>
              <w:t>Non-HRA Capital Expenditure</w:t>
            </w:r>
          </w:p>
        </w:tc>
        <w:tc>
          <w:tcPr>
            <w:tcW w:w="1276" w:type="dxa"/>
            <w:tcBorders>
              <w:top w:val="nil"/>
              <w:left w:val="single" w:sz="4" w:space="0" w:color="auto"/>
              <w:bottom w:val="nil"/>
              <w:right w:val="single" w:sz="4" w:space="0" w:color="auto"/>
            </w:tcBorders>
            <w:shd w:val="clear" w:color="auto" w:fill="auto"/>
            <w:noWrap/>
            <w:vAlign w:val="bottom"/>
          </w:tcPr>
          <w:p w:rsidR="000B39A5" w:rsidRPr="000B39A5" w:rsidRDefault="000B39A5" w:rsidP="000B39A5">
            <w:pPr>
              <w:spacing w:after="0"/>
              <w:jc w:val="right"/>
              <w:rPr>
                <w:rFonts w:cs="Arial"/>
                <w:color w:val="auto"/>
                <w:sz w:val="22"/>
                <w:szCs w:val="22"/>
              </w:rPr>
            </w:pPr>
            <w:r w:rsidRPr="000B39A5">
              <w:rPr>
                <w:rFonts w:cs="Arial"/>
                <w:color w:val="auto"/>
                <w:sz w:val="22"/>
                <w:szCs w:val="22"/>
              </w:rPr>
              <w:t>17,858</w:t>
            </w:r>
          </w:p>
        </w:tc>
        <w:tc>
          <w:tcPr>
            <w:tcW w:w="1276" w:type="dxa"/>
            <w:tcBorders>
              <w:top w:val="nil"/>
              <w:left w:val="nil"/>
              <w:bottom w:val="nil"/>
              <w:right w:val="single" w:sz="4" w:space="0" w:color="auto"/>
            </w:tcBorders>
            <w:shd w:val="clear" w:color="auto" w:fill="auto"/>
            <w:noWrap/>
            <w:vAlign w:val="bottom"/>
          </w:tcPr>
          <w:p w:rsidR="000B39A5" w:rsidRPr="000B39A5" w:rsidRDefault="000B39A5" w:rsidP="000B39A5">
            <w:pPr>
              <w:spacing w:after="0"/>
              <w:jc w:val="right"/>
              <w:rPr>
                <w:rFonts w:cs="Arial"/>
                <w:color w:val="auto"/>
                <w:sz w:val="22"/>
                <w:szCs w:val="22"/>
              </w:rPr>
            </w:pPr>
            <w:r w:rsidRPr="000B39A5">
              <w:rPr>
                <w:rFonts w:cs="Arial"/>
                <w:color w:val="auto"/>
                <w:sz w:val="22"/>
                <w:szCs w:val="22"/>
              </w:rPr>
              <w:t>17,129</w:t>
            </w:r>
          </w:p>
        </w:tc>
        <w:tc>
          <w:tcPr>
            <w:tcW w:w="1158" w:type="dxa"/>
            <w:tcBorders>
              <w:top w:val="nil"/>
              <w:left w:val="nil"/>
              <w:bottom w:val="nil"/>
              <w:right w:val="single" w:sz="4" w:space="0" w:color="auto"/>
            </w:tcBorders>
            <w:shd w:val="clear" w:color="auto" w:fill="auto"/>
            <w:noWrap/>
            <w:vAlign w:val="bottom"/>
          </w:tcPr>
          <w:p w:rsidR="000B39A5" w:rsidRPr="000B39A5" w:rsidRDefault="000B39A5" w:rsidP="000B39A5">
            <w:pPr>
              <w:spacing w:after="0"/>
              <w:jc w:val="right"/>
              <w:rPr>
                <w:rFonts w:cs="Arial"/>
                <w:color w:val="auto"/>
                <w:sz w:val="22"/>
                <w:szCs w:val="22"/>
              </w:rPr>
            </w:pPr>
            <w:r w:rsidRPr="000B39A5">
              <w:rPr>
                <w:rFonts w:cs="Arial"/>
                <w:color w:val="auto"/>
                <w:sz w:val="22"/>
                <w:szCs w:val="22"/>
              </w:rPr>
              <w:t>(729)</w:t>
            </w:r>
          </w:p>
        </w:tc>
      </w:tr>
      <w:tr w:rsidR="000B39A5" w:rsidRPr="000B39A5" w:rsidTr="000B39A5">
        <w:trPr>
          <w:trHeight w:val="285"/>
        </w:trPr>
        <w:tc>
          <w:tcPr>
            <w:tcW w:w="3220" w:type="dxa"/>
            <w:tcBorders>
              <w:top w:val="nil"/>
              <w:left w:val="single" w:sz="4" w:space="0" w:color="auto"/>
              <w:bottom w:val="nil"/>
              <w:right w:val="single" w:sz="4" w:space="0" w:color="auto"/>
            </w:tcBorders>
            <w:shd w:val="clear" w:color="auto" w:fill="auto"/>
            <w:noWrap/>
            <w:vAlign w:val="bottom"/>
            <w:hideMark/>
          </w:tcPr>
          <w:p w:rsidR="000B39A5" w:rsidRPr="000B39A5" w:rsidRDefault="000B39A5" w:rsidP="000B39A5">
            <w:pPr>
              <w:spacing w:after="0"/>
              <w:rPr>
                <w:rFonts w:cs="Arial"/>
                <w:color w:val="auto"/>
                <w:sz w:val="22"/>
                <w:szCs w:val="22"/>
              </w:rPr>
            </w:pPr>
            <w:r w:rsidRPr="000B39A5">
              <w:rPr>
                <w:rFonts w:cs="Arial"/>
                <w:color w:val="auto"/>
                <w:sz w:val="22"/>
                <w:szCs w:val="22"/>
              </w:rPr>
              <w:t>HRA Capital Expenditure</w:t>
            </w:r>
          </w:p>
        </w:tc>
        <w:tc>
          <w:tcPr>
            <w:tcW w:w="1276" w:type="dxa"/>
            <w:tcBorders>
              <w:top w:val="nil"/>
              <w:left w:val="single" w:sz="4" w:space="0" w:color="auto"/>
              <w:bottom w:val="nil"/>
              <w:right w:val="single" w:sz="4" w:space="0" w:color="auto"/>
            </w:tcBorders>
            <w:shd w:val="clear" w:color="auto" w:fill="auto"/>
            <w:noWrap/>
            <w:vAlign w:val="bottom"/>
          </w:tcPr>
          <w:p w:rsidR="000B39A5" w:rsidRPr="000B39A5" w:rsidRDefault="000B39A5" w:rsidP="000B39A5">
            <w:pPr>
              <w:spacing w:after="0"/>
              <w:jc w:val="right"/>
              <w:rPr>
                <w:rFonts w:cs="Arial"/>
                <w:color w:val="auto"/>
                <w:sz w:val="22"/>
                <w:szCs w:val="22"/>
              </w:rPr>
            </w:pPr>
            <w:r w:rsidRPr="000B39A5">
              <w:rPr>
                <w:rFonts w:cs="Arial"/>
                <w:color w:val="auto"/>
                <w:sz w:val="22"/>
                <w:szCs w:val="22"/>
              </w:rPr>
              <w:t>21,047</w:t>
            </w:r>
          </w:p>
        </w:tc>
        <w:tc>
          <w:tcPr>
            <w:tcW w:w="1276" w:type="dxa"/>
            <w:tcBorders>
              <w:top w:val="nil"/>
              <w:left w:val="nil"/>
              <w:bottom w:val="nil"/>
              <w:right w:val="single" w:sz="4" w:space="0" w:color="auto"/>
            </w:tcBorders>
            <w:shd w:val="clear" w:color="auto" w:fill="auto"/>
            <w:noWrap/>
            <w:vAlign w:val="bottom"/>
          </w:tcPr>
          <w:p w:rsidR="000B39A5" w:rsidRPr="000B39A5" w:rsidRDefault="000B39A5" w:rsidP="000B39A5">
            <w:pPr>
              <w:spacing w:after="0"/>
              <w:jc w:val="right"/>
              <w:rPr>
                <w:rFonts w:cs="Arial"/>
                <w:color w:val="auto"/>
                <w:sz w:val="22"/>
                <w:szCs w:val="22"/>
              </w:rPr>
            </w:pPr>
            <w:r w:rsidRPr="000B39A5">
              <w:rPr>
                <w:rFonts w:cs="Arial"/>
                <w:color w:val="auto"/>
                <w:sz w:val="22"/>
                <w:szCs w:val="22"/>
              </w:rPr>
              <w:t>15,579</w:t>
            </w:r>
          </w:p>
        </w:tc>
        <w:tc>
          <w:tcPr>
            <w:tcW w:w="1158" w:type="dxa"/>
            <w:tcBorders>
              <w:top w:val="nil"/>
              <w:left w:val="nil"/>
              <w:bottom w:val="nil"/>
              <w:right w:val="single" w:sz="4" w:space="0" w:color="auto"/>
            </w:tcBorders>
            <w:shd w:val="clear" w:color="auto" w:fill="auto"/>
            <w:noWrap/>
            <w:vAlign w:val="bottom"/>
          </w:tcPr>
          <w:p w:rsidR="000B39A5" w:rsidRPr="000B39A5" w:rsidRDefault="000B39A5" w:rsidP="000B39A5">
            <w:pPr>
              <w:spacing w:after="0"/>
              <w:jc w:val="right"/>
              <w:rPr>
                <w:rFonts w:cs="Arial"/>
                <w:color w:val="auto"/>
                <w:sz w:val="22"/>
                <w:szCs w:val="22"/>
              </w:rPr>
            </w:pPr>
            <w:r w:rsidRPr="000B39A5">
              <w:rPr>
                <w:rFonts w:cs="Arial"/>
                <w:color w:val="auto"/>
                <w:sz w:val="22"/>
                <w:szCs w:val="22"/>
              </w:rPr>
              <w:t>(5,468)</w:t>
            </w:r>
          </w:p>
        </w:tc>
      </w:tr>
      <w:tr w:rsidR="000B39A5" w:rsidRPr="000B39A5" w:rsidTr="000B39A5">
        <w:trPr>
          <w:trHeight w:val="300"/>
        </w:trPr>
        <w:tc>
          <w:tcPr>
            <w:tcW w:w="3220" w:type="dxa"/>
            <w:tcBorders>
              <w:top w:val="nil"/>
              <w:left w:val="single" w:sz="4" w:space="0" w:color="auto"/>
              <w:bottom w:val="nil"/>
              <w:right w:val="single" w:sz="4" w:space="0" w:color="auto"/>
            </w:tcBorders>
            <w:shd w:val="clear" w:color="auto" w:fill="auto"/>
            <w:noWrap/>
            <w:vAlign w:val="bottom"/>
            <w:hideMark/>
          </w:tcPr>
          <w:p w:rsidR="000B39A5" w:rsidRPr="000B39A5" w:rsidRDefault="000B39A5" w:rsidP="000B39A5">
            <w:pPr>
              <w:spacing w:after="0"/>
              <w:rPr>
                <w:rFonts w:cs="Arial"/>
                <w:b/>
                <w:color w:val="auto"/>
                <w:sz w:val="22"/>
                <w:szCs w:val="22"/>
              </w:rPr>
            </w:pPr>
            <w:r w:rsidRPr="000B39A5">
              <w:rPr>
                <w:rFonts w:cs="Arial"/>
                <w:b/>
                <w:color w:val="auto"/>
                <w:sz w:val="22"/>
                <w:szCs w:val="22"/>
              </w:rPr>
              <w:t>Total Capital Expenditure</w:t>
            </w:r>
          </w:p>
        </w:tc>
        <w:tc>
          <w:tcPr>
            <w:tcW w:w="1276" w:type="dxa"/>
            <w:tcBorders>
              <w:top w:val="nil"/>
              <w:left w:val="single" w:sz="4" w:space="0" w:color="auto"/>
              <w:bottom w:val="nil"/>
              <w:right w:val="single" w:sz="4" w:space="0" w:color="auto"/>
            </w:tcBorders>
            <w:shd w:val="clear" w:color="auto" w:fill="auto"/>
            <w:noWrap/>
            <w:vAlign w:val="bottom"/>
          </w:tcPr>
          <w:p w:rsidR="000B39A5" w:rsidRPr="000B39A5" w:rsidRDefault="000B39A5" w:rsidP="000B39A5">
            <w:pPr>
              <w:spacing w:after="0"/>
              <w:jc w:val="right"/>
              <w:rPr>
                <w:rFonts w:cs="Arial"/>
                <w:b/>
                <w:bCs/>
                <w:color w:val="auto"/>
                <w:sz w:val="22"/>
                <w:szCs w:val="22"/>
              </w:rPr>
            </w:pPr>
            <w:r w:rsidRPr="000B39A5">
              <w:rPr>
                <w:rFonts w:cs="Arial"/>
                <w:b/>
                <w:bCs/>
                <w:color w:val="auto"/>
                <w:sz w:val="22"/>
                <w:szCs w:val="22"/>
              </w:rPr>
              <w:t>38,905</w:t>
            </w:r>
          </w:p>
        </w:tc>
        <w:tc>
          <w:tcPr>
            <w:tcW w:w="1276" w:type="dxa"/>
            <w:tcBorders>
              <w:top w:val="nil"/>
              <w:left w:val="nil"/>
              <w:bottom w:val="nil"/>
              <w:right w:val="single" w:sz="4" w:space="0" w:color="auto"/>
            </w:tcBorders>
            <w:shd w:val="clear" w:color="auto" w:fill="auto"/>
            <w:noWrap/>
            <w:vAlign w:val="bottom"/>
          </w:tcPr>
          <w:p w:rsidR="000B39A5" w:rsidRPr="000B39A5" w:rsidRDefault="000B39A5" w:rsidP="000B39A5">
            <w:pPr>
              <w:spacing w:after="0"/>
              <w:jc w:val="right"/>
              <w:rPr>
                <w:rFonts w:cs="Arial"/>
                <w:b/>
                <w:bCs/>
                <w:color w:val="auto"/>
                <w:sz w:val="22"/>
                <w:szCs w:val="22"/>
              </w:rPr>
            </w:pPr>
            <w:r w:rsidRPr="000B39A5">
              <w:rPr>
                <w:rFonts w:cs="Arial"/>
                <w:b/>
                <w:bCs/>
                <w:color w:val="auto"/>
                <w:sz w:val="22"/>
                <w:szCs w:val="22"/>
              </w:rPr>
              <w:t>32,708</w:t>
            </w:r>
          </w:p>
        </w:tc>
        <w:tc>
          <w:tcPr>
            <w:tcW w:w="1158" w:type="dxa"/>
            <w:tcBorders>
              <w:top w:val="nil"/>
              <w:left w:val="nil"/>
              <w:bottom w:val="nil"/>
              <w:right w:val="single" w:sz="4" w:space="0" w:color="auto"/>
            </w:tcBorders>
            <w:shd w:val="clear" w:color="auto" w:fill="auto"/>
            <w:noWrap/>
            <w:vAlign w:val="bottom"/>
          </w:tcPr>
          <w:p w:rsidR="000B39A5" w:rsidRPr="000B39A5" w:rsidRDefault="000B39A5" w:rsidP="000B39A5">
            <w:pPr>
              <w:spacing w:after="0"/>
              <w:jc w:val="right"/>
              <w:rPr>
                <w:rFonts w:cs="Arial"/>
                <w:b/>
                <w:bCs/>
                <w:color w:val="auto"/>
                <w:sz w:val="22"/>
                <w:szCs w:val="22"/>
              </w:rPr>
            </w:pPr>
            <w:r w:rsidRPr="000B39A5">
              <w:rPr>
                <w:rFonts w:cs="Arial"/>
                <w:b/>
                <w:bCs/>
                <w:color w:val="auto"/>
                <w:sz w:val="22"/>
                <w:szCs w:val="22"/>
              </w:rPr>
              <w:t>(6,197)</w:t>
            </w:r>
          </w:p>
        </w:tc>
      </w:tr>
      <w:tr w:rsidR="000B39A5" w:rsidRPr="000B39A5" w:rsidTr="000B39A5">
        <w:trPr>
          <w:trHeight w:val="285"/>
        </w:trPr>
        <w:tc>
          <w:tcPr>
            <w:tcW w:w="3220" w:type="dxa"/>
            <w:tcBorders>
              <w:top w:val="nil"/>
              <w:left w:val="single" w:sz="4" w:space="0" w:color="auto"/>
              <w:bottom w:val="nil"/>
              <w:right w:val="single" w:sz="4" w:space="0" w:color="auto"/>
            </w:tcBorders>
            <w:shd w:val="clear" w:color="auto" w:fill="auto"/>
            <w:noWrap/>
            <w:vAlign w:val="bottom"/>
            <w:hideMark/>
          </w:tcPr>
          <w:p w:rsidR="000B39A5" w:rsidRPr="000B39A5" w:rsidRDefault="000B39A5" w:rsidP="000B39A5">
            <w:pPr>
              <w:spacing w:after="0"/>
              <w:rPr>
                <w:rFonts w:cs="Arial"/>
                <w:color w:val="auto"/>
                <w:sz w:val="22"/>
                <w:szCs w:val="22"/>
              </w:rPr>
            </w:pPr>
            <w:r w:rsidRPr="000B39A5">
              <w:rPr>
                <w:rFonts w:cs="Arial"/>
                <w:color w:val="auto"/>
                <w:sz w:val="22"/>
                <w:szCs w:val="22"/>
              </w:rPr>
              <w:t> </w:t>
            </w:r>
          </w:p>
        </w:tc>
        <w:tc>
          <w:tcPr>
            <w:tcW w:w="1276" w:type="dxa"/>
            <w:tcBorders>
              <w:top w:val="nil"/>
              <w:left w:val="single" w:sz="4" w:space="0" w:color="auto"/>
              <w:bottom w:val="nil"/>
              <w:right w:val="single" w:sz="4" w:space="0" w:color="auto"/>
            </w:tcBorders>
            <w:shd w:val="clear" w:color="auto" w:fill="auto"/>
            <w:noWrap/>
            <w:vAlign w:val="bottom"/>
          </w:tcPr>
          <w:p w:rsidR="000B39A5" w:rsidRPr="000B39A5" w:rsidRDefault="000B39A5" w:rsidP="000B39A5">
            <w:pPr>
              <w:spacing w:after="0"/>
              <w:rPr>
                <w:rFonts w:cs="Arial"/>
                <w:color w:val="auto"/>
                <w:sz w:val="22"/>
                <w:szCs w:val="22"/>
              </w:rPr>
            </w:pPr>
          </w:p>
        </w:tc>
        <w:tc>
          <w:tcPr>
            <w:tcW w:w="1276" w:type="dxa"/>
            <w:tcBorders>
              <w:top w:val="nil"/>
              <w:left w:val="nil"/>
              <w:bottom w:val="nil"/>
              <w:right w:val="single" w:sz="4" w:space="0" w:color="auto"/>
            </w:tcBorders>
            <w:shd w:val="clear" w:color="auto" w:fill="auto"/>
            <w:noWrap/>
            <w:vAlign w:val="bottom"/>
          </w:tcPr>
          <w:p w:rsidR="000B39A5" w:rsidRPr="000B39A5" w:rsidRDefault="000B39A5" w:rsidP="000B39A5">
            <w:pPr>
              <w:spacing w:after="0"/>
              <w:rPr>
                <w:rFonts w:cs="Arial"/>
                <w:color w:val="auto"/>
                <w:sz w:val="22"/>
                <w:szCs w:val="22"/>
              </w:rPr>
            </w:pPr>
          </w:p>
        </w:tc>
        <w:tc>
          <w:tcPr>
            <w:tcW w:w="1158" w:type="dxa"/>
            <w:tcBorders>
              <w:top w:val="nil"/>
              <w:left w:val="nil"/>
              <w:bottom w:val="nil"/>
              <w:right w:val="single" w:sz="4" w:space="0" w:color="auto"/>
            </w:tcBorders>
            <w:shd w:val="clear" w:color="auto" w:fill="auto"/>
            <w:noWrap/>
            <w:vAlign w:val="bottom"/>
          </w:tcPr>
          <w:p w:rsidR="000B39A5" w:rsidRPr="000B39A5" w:rsidRDefault="000B39A5" w:rsidP="000B39A5">
            <w:pPr>
              <w:spacing w:after="0"/>
              <w:rPr>
                <w:rFonts w:cs="Arial"/>
                <w:color w:val="auto"/>
                <w:sz w:val="22"/>
                <w:szCs w:val="22"/>
              </w:rPr>
            </w:pPr>
          </w:p>
        </w:tc>
      </w:tr>
      <w:tr w:rsidR="000B39A5" w:rsidRPr="000B39A5" w:rsidTr="000B39A5">
        <w:trPr>
          <w:trHeight w:val="285"/>
        </w:trPr>
        <w:tc>
          <w:tcPr>
            <w:tcW w:w="3220" w:type="dxa"/>
            <w:tcBorders>
              <w:top w:val="nil"/>
              <w:left w:val="single" w:sz="4" w:space="0" w:color="auto"/>
              <w:bottom w:val="nil"/>
              <w:right w:val="single" w:sz="4" w:space="0" w:color="auto"/>
            </w:tcBorders>
            <w:shd w:val="clear" w:color="auto" w:fill="auto"/>
            <w:noWrap/>
            <w:vAlign w:val="bottom"/>
            <w:hideMark/>
          </w:tcPr>
          <w:p w:rsidR="000B39A5" w:rsidRPr="000B39A5" w:rsidRDefault="000B39A5" w:rsidP="000B39A5">
            <w:pPr>
              <w:spacing w:after="0"/>
              <w:rPr>
                <w:rFonts w:cs="Arial"/>
                <w:b/>
                <w:color w:val="auto"/>
                <w:sz w:val="22"/>
                <w:szCs w:val="22"/>
              </w:rPr>
            </w:pPr>
            <w:r w:rsidRPr="000B39A5">
              <w:rPr>
                <w:rFonts w:cs="Arial"/>
                <w:b/>
                <w:color w:val="auto"/>
                <w:sz w:val="22"/>
                <w:szCs w:val="22"/>
              </w:rPr>
              <w:t>Resourced by:</w:t>
            </w:r>
          </w:p>
        </w:tc>
        <w:tc>
          <w:tcPr>
            <w:tcW w:w="1276" w:type="dxa"/>
            <w:tcBorders>
              <w:top w:val="nil"/>
              <w:left w:val="single" w:sz="4" w:space="0" w:color="auto"/>
              <w:bottom w:val="nil"/>
              <w:right w:val="single" w:sz="4" w:space="0" w:color="auto"/>
            </w:tcBorders>
            <w:shd w:val="clear" w:color="auto" w:fill="auto"/>
            <w:noWrap/>
            <w:vAlign w:val="bottom"/>
          </w:tcPr>
          <w:p w:rsidR="000B39A5" w:rsidRPr="000B39A5" w:rsidRDefault="000B39A5" w:rsidP="000B39A5">
            <w:pPr>
              <w:spacing w:after="0"/>
              <w:rPr>
                <w:rFonts w:cs="Arial"/>
                <w:color w:val="auto"/>
                <w:sz w:val="22"/>
                <w:szCs w:val="22"/>
              </w:rPr>
            </w:pPr>
          </w:p>
        </w:tc>
        <w:tc>
          <w:tcPr>
            <w:tcW w:w="1276" w:type="dxa"/>
            <w:tcBorders>
              <w:top w:val="nil"/>
              <w:left w:val="nil"/>
              <w:bottom w:val="nil"/>
              <w:right w:val="single" w:sz="4" w:space="0" w:color="auto"/>
            </w:tcBorders>
            <w:shd w:val="clear" w:color="auto" w:fill="auto"/>
            <w:noWrap/>
            <w:vAlign w:val="bottom"/>
          </w:tcPr>
          <w:p w:rsidR="000B39A5" w:rsidRPr="000B39A5" w:rsidRDefault="000B39A5" w:rsidP="000B39A5">
            <w:pPr>
              <w:spacing w:after="0"/>
              <w:rPr>
                <w:rFonts w:cs="Arial"/>
                <w:color w:val="auto"/>
                <w:sz w:val="22"/>
                <w:szCs w:val="22"/>
              </w:rPr>
            </w:pPr>
          </w:p>
        </w:tc>
        <w:tc>
          <w:tcPr>
            <w:tcW w:w="1158" w:type="dxa"/>
            <w:tcBorders>
              <w:top w:val="nil"/>
              <w:left w:val="nil"/>
              <w:bottom w:val="nil"/>
              <w:right w:val="single" w:sz="4" w:space="0" w:color="auto"/>
            </w:tcBorders>
            <w:shd w:val="clear" w:color="auto" w:fill="auto"/>
            <w:noWrap/>
            <w:vAlign w:val="bottom"/>
          </w:tcPr>
          <w:p w:rsidR="000B39A5" w:rsidRPr="000B39A5" w:rsidRDefault="000B39A5" w:rsidP="000B39A5">
            <w:pPr>
              <w:spacing w:after="0"/>
              <w:rPr>
                <w:rFonts w:cs="Arial"/>
                <w:color w:val="auto"/>
                <w:sz w:val="22"/>
                <w:szCs w:val="22"/>
              </w:rPr>
            </w:pPr>
          </w:p>
        </w:tc>
      </w:tr>
      <w:tr w:rsidR="000B39A5" w:rsidRPr="000B39A5" w:rsidTr="000B39A5">
        <w:trPr>
          <w:trHeight w:val="285"/>
        </w:trPr>
        <w:tc>
          <w:tcPr>
            <w:tcW w:w="3220" w:type="dxa"/>
            <w:tcBorders>
              <w:top w:val="nil"/>
              <w:left w:val="single" w:sz="4" w:space="0" w:color="auto"/>
              <w:bottom w:val="nil"/>
              <w:right w:val="single" w:sz="4" w:space="0" w:color="auto"/>
            </w:tcBorders>
            <w:shd w:val="clear" w:color="auto" w:fill="auto"/>
            <w:noWrap/>
            <w:vAlign w:val="bottom"/>
          </w:tcPr>
          <w:p w:rsidR="000B39A5" w:rsidRPr="000B39A5" w:rsidRDefault="000B39A5" w:rsidP="000B39A5">
            <w:pPr>
              <w:spacing w:after="0"/>
              <w:rPr>
                <w:rFonts w:cs="Arial"/>
                <w:color w:val="auto"/>
                <w:sz w:val="22"/>
                <w:szCs w:val="22"/>
              </w:rPr>
            </w:pPr>
            <w:r w:rsidRPr="000B39A5">
              <w:rPr>
                <w:rFonts w:cs="Arial"/>
                <w:color w:val="auto"/>
                <w:sz w:val="22"/>
                <w:szCs w:val="22"/>
              </w:rPr>
              <w:t>Developer Contributions</w:t>
            </w:r>
          </w:p>
        </w:tc>
        <w:tc>
          <w:tcPr>
            <w:tcW w:w="1276" w:type="dxa"/>
            <w:tcBorders>
              <w:top w:val="nil"/>
              <w:left w:val="single" w:sz="4" w:space="0" w:color="auto"/>
              <w:bottom w:val="nil"/>
              <w:right w:val="single" w:sz="4" w:space="0" w:color="auto"/>
            </w:tcBorders>
            <w:shd w:val="clear" w:color="auto" w:fill="auto"/>
            <w:noWrap/>
            <w:vAlign w:val="bottom"/>
          </w:tcPr>
          <w:p w:rsidR="000B39A5" w:rsidRPr="000B39A5" w:rsidRDefault="000B39A5" w:rsidP="000B39A5">
            <w:pPr>
              <w:spacing w:after="0"/>
              <w:jc w:val="right"/>
              <w:rPr>
                <w:rFonts w:cs="Arial"/>
                <w:color w:val="auto"/>
                <w:sz w:val="22"/>
                <w:szCs w:val="22"/>
              </w:rPr>
            </w:pPr>
            <w:r w:rsidRPr="000B39A5">
              <w:rPr>
                <w:rFonts w:cs="Arial"/>
                <w:color w:val="auto"/>
                <w:sz w:val="22"/>
                <w:szCs w:val="22"/>
              </w:rPr>
              <w:t>2,754</w:t>
            </w:r>
          </w:p>
        </w:tc>
        <w:tc>
          <w:tcPr>
            <w:tcW w:w="1276" w:type="dxa"/>
            <w:tcBorders>
              <w:top w:val="nil"/>
              <w:left w:val="nil"/>
              <w:bottom w:val="nil"/>
              <w:right w:val="single" w:sz="4" w:space="0" w:color="auto"/>
            </w:tcBorders>
            <w:shd w:val="clear" w:color="auto" w:fill="auto"/>
            <w:noWrap/>
            <w:vAlign w:val="bottom"/>
          </w:tcPr>
          <w:p w:rsidR="000B39A5" w:rsidRPr="000B39A5" w:rsidRDefault="000B39A5" w:rsidP="000B39A5">
            <w:pPr>
              <w:spacing w:after="0"/>
              <w:jc w:val="right"/>
              <w:rPr>
                <w:rFonts w:cs="Arial"/>
                <w:color w:val="auto"/>
                <w:sz w:val="22"/>
                <w:szCs w:val="22"/>
              </w:rPr>
            </w:pPr>
            <w:r w:rsidRPr="000B39A5">
              <w:rPr>
                <w:rFonts w:cs="Arial"/>
                <w:color w:val="auto"/>
                <w:sz w:val="22"/>
                <w:szCs w:val="22"/>
              </w:rPr>
              <w:t>706</w:t>
            </w:r>
          </w:p>
        </w:tc>
        <w:tc>
          <w:tcPr>
            <w:tcW w:w="1158" w:type="dxa"/>
            <w:tcBorders>
              <w:top w:val="nil"/>
              <w:left w:val="nil"/>
              <w:bottom w:val="nil"/>
              <w:right w:val="single" w:sz="4" w:space="0" w:color="auto"/>
            </w:tcBorders>
            <w:shd w:val="clear" w:color="auto" w:fill="auto"/>
            <w:noWrap/>
            <w:vAlign w:val="bottom"/>
          </w:tcPr>
          <w:p w:rsidR="000B39A5" w:rsidRPr="000B39A5" w:rsidRDefault="000B39A5" w:rsidP="000B39A5">
            <w:pPr>
              <w:spacing w:after="0"/>
              <w:jc w:val="right"/>
              <w:rPr>
                <w:rFonts w:cs="Arial"/>
                <w:color w:val="auto"/>
                <w:sz w:val="22"/>
                <w:szCs w:val="22"/>
              </w:rPr>
            </w:pPr>
            <w:r w:rsidRPr="000B39A5">
              <w:rPr>
                <w:rFonts w:cs="Arial"/>
                <w:color w:val="auto"/>
                <w:sz w:val="22"/>
                <w:szCs w:val="22"/>
              </w:rPr>
              <w:t>(2,048)</w:t>
            </w:r>
          </w:p>
        </w:tc>
      </w:tr>
      <w:tr w:rsidR="000B39A5" w:rsidRPr="000B39A5" w:rsidTr="000B39A5">
        <w:trPr>
          <w:trHeight w:val="285"/>
        </w:trPr>
        <w:tc>
          <w:tcPr>
            <w:tcW w:w="3220" w:type="dxa"/>
            <w:tcBorders>
              <w:top w:val="nil"/>
              <w:left w:val="single" w:sz="4" w:space="0" w:color="auto"/>
              <w:bottom w:val="nil"/>
              <w:right w:val="single" w:sz="4" w:space="0" w:color="auto"/>
            </w:tcBorders>
            <w:shd w:val="clear" w:color="auto" w:fill="auto"/>
            <w:noWrap/>
            <w:vAlign w:val="bottom"/>
            <w:hideMark/>
          </w:tcPr>
          <w:p w:rsidR="000B39A5" w:rsidRPr="000B39A5" w:rsidRDefault="000B39A5" w:rsidP="000B39A5">
            <w:pPr>
              <w:spacing w:after="0"/>
              <w:rPr>
                <w:rFonts w:cs="Arial"/>
                <w:color w:val="auto"/>
                <w:sz w:val="22"/>
                <w:szCs w:val="22"/>
              </w:rPr>
            </w:pPr>
            <w:r w:rsidRPr="000B39A5">
              <w:rPr>
                <w:rFonts w:cs="Arial"/>
                <w:color w:val="auto"/>
                <w:sz w:val="22"/>
                <w:szCs w:val="22"/>
              </w:rPr>
              <w:t>Capital Receipts</w:t>
            </w:r>
          </w:p>
        </w:tc>
        <w:tc>
          <w:tcPr>
            <w:tcW w:w="1276" w:type="dxa"/>
            <w:tcBorders>
              <w:top w:val="nil"/>
              <w:left w:val="single" w:sz="4" w:space="0" w:color="auto"/>
              <w:bottom w:val="nil"/>
              <w:right w:val="single" w:sz="4" w:space="0" w:color="auto"/>
            </w:tcBorders>
            <w:shd w:val="clear" w:color="auto" w:fill="auto"/>
            <w:noWrap/>
            <w:vAlign w:val="bottom"/>
          </w:tcPr>
          <w:p w:rsidR="000B39A5" w:rsidRPr="000B39A5" w:rsidRDefault="000B39A5" w:rsidP="000B39A5">
            <w:pPr>
              <w:spacing w:after="0"/>
              <w:jc w:val="right"/>
              <w:rPr>
                <w:rFonts w:cs="Arial"/>
                <w:color w:val="auto"/>
                <w:sz w:val="22"/>
                <w:szCs w:val="22"/>
              </w:rPr>
            </w:pPr>
            <w:r w:rsidRPr="000B39A5">
              <w:rPr>
                <w:rFonts w:cs="Arial"/>
                <w:color w:val="auto"/>
                <w:sz w:val="22"/>
                <w:szCs w:val="22"/>
              </w:rPr>
              <w:t>7,288</w:t>
            </w:r>
          </w:p>
        </w:tc>
        <w:tc>
          <w:tcPr>
            <w:tcW w:w="1276" w:type="dxa"/>
            <w:tcBorders>
              <w:top w:val="nil"/>
              <w:left w:val="nil"/>
              <w:bottom w:val="nil"/>
              <w:right w:val="single" w:sz="4" w:space="0" w:color="auto"/>
            </w:tcBorders>
            <w:shd w:val="clear" w:color="auto" w:fill="auto"/>
            <w:noWrap/>
            <w:vAlign w:val="bottom"/>
          </w:tcPr>
          <w:p w:rsidR="000B39A5" w:rsidRPr="000B39A5" w:rsidRDefault="000B39A5" w:rsidP="000B39A5">
            <w:pPr>
              <w:spacing w:after="0"/>
              <w:jc w:val="right"/>
              <w:rPr>
                <w:rFonts w:cs="Arial"/>
                <w:color w:val="auto"/>
                <w:sz w:val="22"/>
                <w:szCs w:val="22"/>
              </w:rPr>
            </w:pPr>
            <w:r w:rsidRPr="000B39A5">
              <w:rPr>
                <w:rFonts w:cs="Arial"/>
                <w:color w:val="auto"/>
                <w:sz w:val="22"/>
                <w:szCs w:val="22"/>
              </w:rPr>
              <w:t>9,765</w:t>
            </w:r>
          </w:p>
        </w:tc>
        <w:tc>
          <w:tcPr>
            <w:tcW w:w="1158" w:type="dxa"/>
            <w:tcBorders>
              <w:top w:val="nil"/>
              <w:left w:val="nil"/>
              <w:bottom w:val="nil"/>
              <w:right w:val="single" w:sz="4" w:space="0" w:color="auto"/>
            </w:tcBorders>
            <w:shd w:val="clear" w:color="auto" w:fill="auto"/>
            <w:noWrap/>
            <w:vAlign w:val="bottom"/>
          </w:tcPr>
          <w:p w:rsidR="000B39A5" w:rsidRPr="000B39A5" w:rsidRDefault="000B39A5" w:rsidP="000B39A5">
            <w:pPr>
              <w:spacing w:after="0"/>
              <w:jc w:val="right"/>
              <w:rPr>
                <w:rFonts w:cs="Arial"/>
                <w:color w:val="auto"/>
                <w:sz w:val="22"/>
                <w:szCs w:val="22"/>
              </w:rPr>
            </w:pPr>
            <w:r w:rsidRPr="000B39A5">
              <w:rPr>
                <w:rFonts w:cs="Arial"/>
                <w:color w:val="auto"/>
                <w:sz w:val="22"/>
                <w:szCs w:val="22"/>
              </w:rPr>
              <w:t>2,477</w:t>
            </w:r>
          </w:p>
        </w:tc>
      </w:tr>
      <w:tr w:rsidR="000B39A5" w:rsidRPr="000B39A5" w:rsidTr="000B39A5">
        <w:trPr>
          <w:trHeight w:val="285"/>
        </w:trPr>
        <w:tc>
          <w:tcPr>
            <w:tcW w:w="3220" w:type="dxa"/>
            <w:tcBorders>
              <w:top w:val="nil"/>
              <w:left w:val="single" w:sz="4" w:space="0" w:color="auto"/>
              <w:bottom w:val="nil"/>
              <w:right w:val="single" w:sz="4" w:space="0" w:color="auto"/>
            </w:tcBorders>
            <w:shd w:val="clear" w:color="auto" w:fill="auto"/>
            <w:noWrap/>
            <w:vAlign w:val="bottom"/>
            <w:hideMark/>
          </w:tcPr>
          <w:p w:rsidR="000B39A5" w:rsidRPr="000B39A5" w:rsidRDefault="000B39A5" w:rsidP="000B39A5">
            <w:pPr>
              <w:spacing w:after="0"/>
              <w:rPr>
                <w:rFonts w:cs="Arial"/>
                <w:color w:val="auto"/>
                <w:sz w:val="22"/>
                <w:szCs w:val="22"/>
              </w:rPr>
            </w:pPr>
            <w:r w:rsidRPr="000B39A5">
              <w:rPr>
                <w:rFonts w:cs="Arial"/>
                <w:color w:val="auto"/>
                <w:sz w:val="22"/>
                <w:szCs w:val="22"/>
              </w:rPr>
              <w:t>Capital Grants and contributions</w:t>
            </w:r>
          </w:p>
        </w:tc>
        <w:tc>
          <w:tcPr>
            <w:tcW w:w="1276" w:type="dxa"/>
            <w:tcBorders>
              <w:top w:val="nil"/>
              <w:left w:val="single" w:sz="4" w:space="0" w:color="auto"/>
              <w:bottom w:val="nil"/>
              <w:right w:val="single" w:sz="4" w:space="0" w:color="auto"/>
            </w:tcBorders>
            <w:shd w:val="clear" w:color="auto" w:fill="auto"/>
            <w:noWrap/>
            <w:vAlign w:val="bottom"/>
          </w:tcPr>
          <w:p w:rsidR="000B39A5" w:rsidRPr="000B39A5" w:rsidRDefault="000B39A5" w:rsidP="000B39A5">
            <w:pPr>
              <w:spacing w:after="0"/>
              <w:jc w:val="right"/>
              <w:rPr>
                <w:rFonts w:cs="Arial"/>
                <w:color w:val="auto"/>
                <w:sz w:val="22"/>
                <w:szCs w:val="22"/>
              </w:rPr>
            </w:pPr>
            <w:r w:rsidRPr="000B39A5">
              <w:rPr>
                <w:rFonts w:cs="Arial"/>
                <w:color w:val="auto"/>
                <w:sz w:val="22"/>
                <w:szCs w:val="22"/>
              </w:rPr>
              <w:t>947</w:t>
            </w:r>
          </w:p>
        </w:tc>
        <w:tc>
          <w:tcPr>
            <w:tcW w:w="1276" w:type="dxa"/>
            <w:tcBorders>
              <w:top w:val="nil"/>
              <w:left w:val="nil"/>
              <w:bottom w:val="nil"/>
              <w:right w:val="single" w:sz="4" w:space="0" w:color="auto"/>
            </w:tcBorders>
            <w:shd w:val="clear" w:color="auto" w:fill="auto"/>
            <w:noWrap/>
            <w:vAlign w:val="bottom"/>
          </w:tcPr>
          <w:p w:rsidR="000B39A5" w:rsidRPr="000B39A5" w:rsidRDefault="000B39A5" w:rsidP="000B39A5">
            <w:pPr>
              <w:spacing w:after="0"/>
              <w:jc w:val="right"/>
              <w:rPr>
                <w:rFonts w:cs="Arial"/>
                <w:color w:val="auto"/>
                <w:sz w:val="22"/>
                <w:szCs w:val="22"/>
              </w:rPr>
            </w:pPr>
            <w:r w:rsidRPr="000B39A5">
              <w:rPr>
                <w:rFonts w:cs="Arial"/>
                <w:color w:val="auto"/>
                <w:sz w:val="22"/>
                <w:szCs w:val="22"/>
              </w:rPr>
              <w:t>6,336</w:t>
            </w:r>
          </w:p>
        </w:tc>
        <w:tc>
          <w:tcPr>
            <w:tcW w:w="1158" w:type="dxa"/>
            <w:tcBorders>
              <w:top w:val="nil"/>
              <w:left w:val="nil"/>
              <w:bottom w:val="nil"/>
              <w:right w:val="single" w:sz="4" w:space="0" w:color="auto"/>
            </w:tcBorders>
            <w:shd w:val="clear" w:color="auto" w:fill="auto"/>
            <w:noWrap/>
            <w:vAlign w:val="bottom"/>
          </w:tcPr>
          <w:p w:rsidR="000B39A5" w:rsidRPr="000B39A5" w:rsidRDefault="000B39A5" w:rsidP="000B39A5">
            <w:pPr>
              <w:spacing w:after="0"/>
              <w:jc w:val="right"/>
              <w:rPr>
                <w:rFonts w:cs="Arial"/>
                <w:color w:val="auto"/>
                <w:sz w:val="22"/>
                <w:szCs w:val="22"/>
              </w:rPr>
            </w:pPr>
            <w:r w:rsidRPr="000B39A5">
              <w:rPr>
                <w:rFonts w:cs="Arial"/>
                <w:color w:val="auto"/>
                <w:sz w:val="22"/>
                <w:szCs w:val="22"/>
              </w:rPr>
              <w:t>5,389</w:t>
            </w:r>
          </w:p>
        </w:tc>
      </w:tr>
      <w:tr w:rsidR="000B39A5" w:rsidRPr="000B39A5" w:rsidTr="000B39A5">
        <w:trPr>
          <w:trHeight w:val="285"/>
        </w:trPr>
        <w:tc>
          <w:tcPr>
            <w:tcW w:w="3220" w:type="dxa"/>
            <w:tcBorders>
              <w:top w:val="nil"/>
              <w:left w:val="single" w:sz="4" w:space="0" w:color="auto"/>
              <w:bottom w:val="nil"/>
              <w:right w:val="single" w:sz="4" w:space="0" w:color="auto"/>
            </w:tcBorders>
            <w:shd w:val="clear" w:color="auto" w:fill="auto"/>
            <w:noWrap/>
            <w:vAlign w:val="bottom"/>
          </w:tcPr>
          <w:p w:rsidR="000B39A5" w:rsidRPr="000B39A5" w:rsidRDefault="000B39A5" w:rsidP="000B39A5">
            <w:pPr>
              <w:spacing w:after="0"/>
              <w:rPr>
                <w:rFonts w:cs="Arial"/>
                <w:color w:val="auto"/>
                <w:sz w:val="22"/>
                <w:szCs w:val="22"/>
              </w:rPr>
            </w:pPr>
            <w:r w:rsidRPr="000B39A5">
              <w:rPr>
                <w:rFonts w:cs="Arial"/>
                <w:color w:val="auto"/>
                <w:sz w:val="22"/>
                <w:szCs w:val="22"/>
              </w:rPr>
              <w:t>Major Repairs Reserve</w:t>
            </w:r>
          </w:p>
        </w:tc>
        <w:tc>
          <w:tcPr>
            <w:tcW w:w="1276" w:type="dxa"/>
            <w:tcBorders>
              <w:top w:val="nil"/>
              <w:left w:val="single" w:sz="4" w:space="0" w:color="auto"/>
              <w:bottom w:val="nil"/>
              <w:right w:val="single" w:sz="4" w:space="0" w:color="auto"/>
            </w:tcBorders>
            <w:shd w:val="clear" w:color="auto" w:fill="auto"/>
            <w:noWrap/>
            <w:vAlign w:val="bottom"/>
          </w:tcPr>
          <w:p w:rsidR="000B39A5" w:rsidRPr="000B39A5" w:rsidRDefault="000B39A5" w:rsidP="000B39A5">
            <w:pPr>
              <w:spacing w:after="0"/>
              <w:jc w:val="right"/>
              <w:rPr>
                <w:rFonts w:cs="Arial"/>
                <w:color w:val="auto"/>
                <w:sz w:val="22"/>
                <w:szCs w:val="22"/>
              </w:rPr>
            </w:pPr>
            <w:r w:rsidRPr="000B39A5">
              <w:rPr>
                <w:rFonts w:cs="Arial"/>
                <w:color w:val="auto"/>
                <w:sz w:val="22"/>
                <w:szCs w:val="22"/>
              </w:rPr>
              <w:t>6,858</w:t>
            </w:r>
          </w:p>
        </w:tc>
        <w:tc>
          <w:tcPr>
            <w:tcW w:w="1276" w:type="dxa"/>
            <w:tcBorders>
              <w:top w:val="nil"/>
              <w:left w:val="nil"/>
              <w:bottom w:val="nil"/>
              <w:right w:val="single" w:sz="4" w:space="0" w:color="auto"/>
            </w:tcBorders>
            <w:shd w:val="clear" w:color="auto" w:fill="auto"/>
            <w:noWrap/>
            <w:vAlign w:val="bottom"/>
          </w:tcPr>
          <w:p w:rsidR="000B39A5" w:rsidRPr="000B39A5" w:rsidRDefault="000B39A5" w:rsidP="000B39A5">
            <w:pPr>
              <w:spacing w:after="0"/>
              <w:jc w:val="right"/>
              <w:rPr>
                <w:rFonts w:cs="Arial"/>
                <w:color w:val="auto"/>
                <w:sz w:val="22"/>
                <w:szCs w:val="22"/>
              </w:rPr>
            </w:pPr>
            <w:r w:rsidRPr="000B39A5">
              <w:rPr>
                <w:rFonts w:cs="Arial"/>
                <w:color w:val="auto"/>
                <w:sz w:val="22"/>
                <w:szCs w:val="22"/>
              </w:rPr>
              <w:t>8,177</w:t>
            </w:r>
          </w:p>
        </w:tc>
        <w:tc>
          <w:tcPr>
            <w:tcW w:w="1158" w:type="dxa"/>
            <w:tcBorders>
              <w:top w:val="nil"/>
              <w:left w:val="nil"/>
              <w:bottom w:val="nil"/>
              <w:right w:val="single" w:sz="4" w:space="0" w:color="auto"/>
            </w:tcBorders>
            <w:shd w:val="clear" w:color="auto" w:fill="auto"/>
            <w:noWrap/>
            <w:vAlign w:val="bottom"/>
          </w:tcPr>
          <w:p w:rsidR="000B39A5" w:rsidRPr="000B39A5" w:rsidRDefault="000B39A5" w:rsidP="000B39A5">
            <w:pPr>
              <w:spacing w:after="0"/>
              <w:jc w:val="right"/>
              <w:rPr>
                <w:rFonts w:cs="Arial"/>
                <w:color w:val="auto"/>
                <w:sz w:val="22"/>
                <w:szCs w:val="22"/>
              </w:rPr>
            </w:pPr>
            <w:r w:rsidRPr="000B39A5">
              <w:rPr>
                <w:rFonts w:cs="Arial"/>
                <w:color w:val="auto"/>
                <w:sz w:val="22"/>
                <w:szCs w:val="22"/>
              </w:rPr>
              <w:t>1,319</w:t>
            </w:r>
          </w:p>
        </w:tc>
      </w:tr>
      <w:tr w:rsidR="000B39A5" w:rsidRPr="000B39A5" w:rsidTr="000B39A5">
        <w:trPr>
          <w:trHeight w:val="285"/>
        </w:trPr>
        <w:tc>
          <w:tcPr>
            <w:tcW w:w="3220" w:type="dxa"/>
            <w:tcBorders>
              <w:top w:val="nil"/>
              <w:left w:val="single" w:sz="4" w:space="0" w:color="auto"/>
              <w:bottom w:val="nil"/>
              <w:right w:val="single" w:sz="4" w:space="0" w:color="auto"/>
            </w:tcBorders>
            <w:shd w:val="clear" w:color="auto" w:fill="auto"/>
            <w:noWrap/>
            <w:vAlign w:val="bottom"/>
            <w:hideMark/>
          </w:tcPr>
          <w:p w:rsidR="000B39A5" w:rsidRPr="000B39A5" w:rsidRDefault="000B39A5" w:rsidP="000B39A5">
            <w:pPr>
              <w:spacing w:after="0"/>
              <w:rPr>
                <w:rFonts w:cs="Arial"/>
                <w:color w:val="auto"/>
                <w:sz w:val="22"/>
                <w:szCs w:val="22"/>
              </w:rPr>
            </w:pPr>
            <w:r w:rsidRPr="000B39A5">
              <w:rPr>
                <w:rFonts w:cs="Arial"/>
                <w:color w:val="auto"/>
                <w:sz w:val="22"/>
                <w:szCs w:val="22"/>
              </w:rPr>
              <w:t>Prudential Borrowing</w:t>
            </w:r>
          </w:p>
        </w:tc>
        <w:tc>
          <w:tcPr>
            <w:tcW w:w="1276" w:type="dxa"/>
            <w:tcBorders>
              <w:top w:val="nil"/>
              <w:left w:val="single" w:sz="4" w:space="0" w:color="auto"/>
              <w:bottom w:val="nil"/>
              <w:right w:val="single" w:sz="4" w:space="0" w:color="auto"/>
            </w:tcBorders>
            <w:shd w:val="clear" w:color="auto" w:fill="auto"/>
            <w:noWrap/>
            <w:vAlign w:val="bottom"/>
          </w:tcPr>
          <w:p w:rsidR="000B39A5" w:rsidRPr="000B39A5" w:rsidRDefault="000B39A5" w:rsidP="000B39A5">
            <w:pPr>
              <w:spacing w:after="0"/>
              <w:jc w:val="right"/>
              <w:rPr>
                <w:rFonts w:cs="Arial"/>
                <w:color w:val="auto"/>
                <w:sz w:val="22"/>
                <w:szCs w:val="22"/>
              </w:rPr>
            </w:pPr>
            <w:r w:rsidRPr="000B39A5">
              <w:rPr>
                <w:rFonts w:cs="Arial"/>
                <w:color w:val="auto"/>
                <w:sz w:val="22"/>
                <w:szCs w:val="22"/>
              </w:rPr>
              <w:t>3,268</w:t>
            </w:r>
          </w:p>
        </w:tc>
        <w:tc>
          <w:tcPr>
            <w:tcW w:w="1276" w:type="dxa"/>
            <w:tcBorders>
              <w:top w:val="nil"/>
              <w:left w:val="nil"/>
              <w:bottom w:val="nil"/>
              <w:right w:val="single" w:sz="4" w:space="0" w:color="auto"/>
            </w:tcBorders>
            <w:shd w:val="clear" w:color="auto" w:fill="auto"/>
            <w:noWrap/>
            <w:vAlign w:val="bottom"/>
          </w:tcPr>
          <w:p w:rsidR="000B39A5" w:rsidRPr="000B39A5" w:rsidRDefault="000B39A5" w:rsidP="000B39A5">
            <w:pPr>
              <w:spacing w:after="0"/>
              <w:jc w:val="right"/>
              <w:rPr>
                <w:rFonts w:cs="Arial"/>
                <w:color w:val="auto"/>
                <w:sz w:val="22"/>
                <w:szCs w:val="22"/>
              </w:rPr>
            </w:pPr>
          </w:p>
        </w:tc>
        <w:tc>
          <w:tcPr>
            <w:tcW w:w="1158" w:type="dxa"/>
            <w:tcBorders>
              <w:top w:val="nil"/>
              <w:left w:val="nil"/>
              <w:bottom w:val="nil"/>
              <w:right w:val="single" w:sz="4" w:space="0" w:color="auto"/>
            </w:tcBorders>
            <w:shd w:val="clear" w:color="auto" w:fill="auto"/>
            <w:noWrap/>
            <w:vAlign w:val="bottom"/>
          </w:tcPr>
          <w:p w:rsidR="000B39A5" w:rsidRPr="000B39A5" w:rsidRDefault="000B39A5" w:rsidP="000B39A5">
            <w:pPr>
              <w:spacing w:after="0"/>
              <w:jc w:val="right"/>
              <w:rPr>
                <w:rFonts w:cs="Arial"/>
                <w:color w:val="auto"/>
                <w:sz w:val="22"/>
                <w:szCs w:val="22"/>
              </w:rPr>
            </w:pPr>
            <w:r w:rsidRPr="000B39A5">
              <w:rPr>
                <w:rFonts w:cs="Arial"/>
                <w:color w:val="auto"/>
                <w:sz w:val="22"/>
                <w:szCs w:val="22"/>
              </w:rPr>
              <w:t>(3,268)</w:t>
            </w:r>
          </w:p>
        </w:tc>
      </w:tr>
      <w:tr w:rsidR="000B39A5" w:rsidRPr="000B39A5" w:rsidTr="000B39A5">
        <w:trPr>
          <w:trHeight w:val="285"/>
        </w:trPr>
        <w:tc>
          <w:tcPr>
            <w:tcW w:w="3220" w:type="dxa"/>
            <w:tcBorders>
              <w:top w:val="nil"/>
              <w:left w:val="single" w:sz="4" w:space="0" w:color="auto"/>
              <w:bottom w:val="nil"/>
              <w:right w:val="single" w:sz="4" w:space="0" w:color="auto"/>
            </w:tcBorders>
            <w:shd w:val="clear" w:color="auto" w:fill="auto"/>
            <w:noWrap/>
            <w:vAlign w:val="bottom"/>
            <w:hideMark/>
          </w:tcPr>
          <w:p w:rsidR="000B39A5" w:rsidRPr="000B39A5" w:rsidRDefault="000B39A5" w:rsidP="000B39A5">
            <w:pPr>
              <w:spacing w:after="0"/>
              <w:rPr>
                <w:rFonts w:cs="Arial"/>
                <w:color w:val="auto"/>
                <w:sz w:val="22"/>
                <w:szCs w:val="22"/>
              </w:rPr>
            </w:pPr>
            <w:r w:rsidRPr="000B39A5">
              <w:rPr>
                <w:rFonts w:cs="Arial"/>
                <w:color w:val="auto"/>
                <w:sz w:val="22"/>
                <w:szCs w:val="22"/>
              </w:rPr>
              <w:t>Revenue</w:t>
            </w:r>
          </w:p>
        </w:tc>
        <w:tc>
          <w:tcPr>
            <w:tcW w:w="1276" w:type="dxa"/>
            <w:tcBorders>
              <w:top w:val="nil"/>
              <w:left w:val="single" w:sz="4" w:space="0" w:color="auto"/>
              <w:bottom w:val="nil"/>
              <w:right w:val="single" w:sz="4" w:space="0" w:color="auto"/>
            </w:tcBorders>
            <w:shd w:val="clear" w:color="auto" w:fill="auto"/>
            <w:noWrap/>
            <w:vAlign w:val="bottom"/>
          </w:tcPr>
          <w:p w:rsidR="000B39A5" w:rsidRPr="000B39A5" w:rsidRDefault="000B39A5" w:rsidP="000B39A5">
            <w:pPr>
              <w:spacing w:after="0"/>
              <w:jc w:val="right"/>
              <w:rPr>
                <w:rFonts w:cs="Arial"/>
                <w:color w:val="auto"/>
                <w:sz w:val="22"/>
                <w:szCs w:val="22"/>
              </w:rPr>
            </w:pPr>
            <w:r w:rsidRPr="000B39A5">
              <w:rPr>
                <w:rFonts w:cs="Arial"/>
                <w:color w:val="auto"/>
                <w:sz w:val="22"/>
                <w:szCs w:val="22"/>
              </w:rPr>
              <w:t>17,790</w:t>
            </w:r>
          </w:p>
        </w:tc>
        <w:tc>
          <w:tcPr>
            <w:tcW w:w="1276" w:type="dxa"/>
            <w:tcBorders>
              <w:top w:val="nil"/>
              <w:left w:val="nil"/>
              <w:bottom w:val="nil"/>
              <w:right w:val="single" w:sz="4" w:space="0" w:color="auto"/>
            </w:tcBorders>
            <w:shd w:val="clear" w:color="auto" w:fill="auto"/>
            <w:noWrap/>
            <w:vAlign w:val="bottom"/>
          </w:tcPr>
          <w:p w:rsidR="000B39A5" w:rsidRPr="000B39A5" w:rsidRDefault="000B39A5" w:rsidP="000B39A5">
            <w:pPr>
              <w:spacing w:after="0"/>
              <w:jc w:val="right"/>
              <w:rPr>
                <w:rFonts w:cs="Arial"/>
                <w:color w:val="auto"/>
                <w:sz w:val="22"/>
                <w:szCs w:val="22"/>
              </w:rPr>
            </w:pPr>
            <w:r w:rsidRPr="000B39A5">
              <w:rPr>
                <w:rFonts w:cs="Arial"/>
                <w:color w:val="auto"/>
                <w:sz w:val="22"/>
                <w:szCs w:val="22"/>
              </w:rPr>
              <w:t>7,724</w:t>
            </w:r>
          </w:p>
        </w:tc>
        <w:tc>
          <w:tcPr>
            <w:tcW w:w="1158" w:type="dxa"/>
            <w:tcBorders>
              <w:top w:val="nil"/>
              <w:left w:val="nil"/>
              <w:bottom w:val="nil"/>
              <w:right w:val="single" w:sz="4" w:space="0" w:color="auto"/>
            </w:tcBorders>
            <w:shd w:val="clear" w:color="auto" w:fill="auto"/>
            <w:noWrap/>
            <w:vAlign w:val="bottom"/>
          </w:tcPr>
          <w:p w:rsidR="000B39A5" w:rsidRPr="000B39A5" w:rsidRDefault="000B39A5" w:rsidP="000B39A5">
            <w:pPr>
              <w:spacing w:after="0"/>
              <w:jc w:val="right"/>
              <w:rPr>
                <w:rFonts w:cs="Arial"/>
                <w:color w:val="auto"/>
                <w:sz w:val="22"/>
                <w:szCs w:val="22"/>
              </w:rPr>
            </w:pPr>
            <w:r w:rsidRPr="000B39A5">
              <w:rPr>
                <w:rFonts w:cs="Arial"/>
                <w:color w:val="auto"/>
                <w:sz w:val="22"/>
                <w:szCs w:val="22"/>
              </w:rPr>
              <w:t>(10,066)</w:t>
            </w:r>
          </w:p>
        </w:tc>
      </w:tr>
      <w:tr w:rsidR="000B39A5" w:rsidRPr="000B39A5" w:rsidTr="000B39A5">
        <w:trPr>
          <w:trHeight w:val="300"/>
        </w:trPr>
        <w:tc>
          <w:tcPr>
            <w:tcW w:w="3220" w:type="dxa"/>
            <w:tcBorders>
              <w:top w:val="nil"/>
              <w:left w:val="single" w:sz="4" w:space="0" w:color="auto"/>
              <w:bottom w:val="nil"/>
              <w:right w:val="single" w:sz="4" w:space="0" w:color="auto"/>
            </w:tcBorders>
            <w:shd w:val="clear" w:color="auto" w:fill="auto"/>
            <w:noWrap/>
            <w:vAlign w:val="bottom"/>
            <w:hideMark/>
          </w:tcPr>
          <w:p w:rsidR="000B39A5" w:rsidRPr="000B39A5" w:rsidRDefault="000B39A5" w:rsidP="000B39A5">
            <w:pPr>
              <w:spacing w:after="0"/>
              <w:rPr>
                <w:rFonts w:cs="Arial"/>
                <w:b/>
                <w:bCs/>
                <w:color w:val="auto"/>
                <w:sz w:val="22"/>
                <w:szCs w:val="22"/>
              </w:rPr>
            </w:pPr>
            <w:r w:rsidRPr="000B39A5">
              <w:rPr>
                <w:rFonts w:cs="Arial"/>
                <w:b/>
                <w:bCs/>
                <w:color w:val="auto"/>
                <w:sz w:val="22"/>
                <w:szCs w:val="22"/>
              </w:rPr>
              <w:t>Total Capital Resources</w:t>
            </w:r>
          </w:p>
        </w:tc>
        <w:tc>
          <w:tcPr>
            <w:tcW w:w="1276" w:type="dxa"/>
            <w:tcBorders>
              <w:top w:val="nil"/>
              <w:left w:val="single" w:sz="4" w:space="0" w:color="auto"/>
              <w:bottom w:val="nil"/>
              <w:right w:val="single" w:sz="4" w:space="0" w:color="auto"/>
            </w:tcBorders>
            <w:shd w:val="clear" w:color="auto" w:fill="auto"/>
            <w:noWrap/>
            <w:vAlign w:val="bottom"/>
          </w:tcPr>
          <w:p w:rsidR="000B39A5" w:rsidRPr="000B39A5" w:rsidRDefault="000B39A5" w:rsidP="000B39A5">
            <w:pPr>
              <w:spacing w:after="0"/>
              <w:jc w:val="right"/>
              <w:rPr>
                <w:rFonts w:cs="Arial"/>
                <w:b/>
                <w:bCs/>
                <w:color w:val="auto"/>
                <w:sz w:val="22"/>
                <w:szCs w:val="22"/>
              </w:rPr>
            </w:pPr>
            <w:r w:rsidRPr="000B39A5">
              <w:rPr>
                <w:rFonts w:cs="Arial"/>
                <w:b/>
                <w:bCs/>
                <w:color w:val="auto"/>
                <w:sz w:val="22"/>
                <w:szCs w:val="22"/>
              </w:rPr>
              <w:t>38,905</w:t>
            </w:r>
          </w:p>
        </w:tc>
        <w:tc>
          <w:tcPr>
            <w:tcW w:w="1276" w:type="dxa"/>
            <w:tcBorders>
              <w:top w:val="nil"/>
              <w:left w:val="nil"/>
              <w:bottom w:val="nil"/>
              <w:right w:val="single" w:sz="4" w:space="0" w:color="auto"/>
            </w:tcBorders>
            <w:shd w:val="clear" w:color="auto" w:fill="auto"/>
            <w:noWrap/>
            <w:vAlign w:val="bottom"/>
          </w:tcPr>
          <w:p w:rsidR="000B39A5" w:rsidRPr="000B39A5" w:rsidRDefault="000B39A5" w:rsidP="000B39A5">
            <w:pPr>
              <w:spacing w:after="0"/>
              <w:jc w:val="right"/>
              <w:rPr>
                <w:rFonts w:cs="Arial"/>
                <w:b/>
                <w:bCs/>
                <w:color w:val="auto"/>
                <w:sz w:val="22"/>
                <w:szCs w:val="22"/>
              </w:rPr>
            </w:pPr>
            <w:r w:rsidRPr="000B39A5">
              <w:rPr>
                <w:rFonts w:cs="Arial"/>
                <w:b/>
                <w:bCs/>
                <w:color w:val="auto"/>
                <w:sz w:val="22"/>
                <w:szCs w:val="22"/>
              </w:rPr>
              <w:t>32,708</w:t>
            </w:r>
          </w:p>
        </w:tc>
        <w:tc>
          <w:tcPr>
            <w:tcW w:w="1158" w:type="dxa"/>
            <w:tcBorders>
              <w:top w:val="nil"/>
              <w:left w:val="nil"/>
              <w:bottom w:val="nil"/>
              <w:right w:val="single" w:sz="4" w:space="0" w:color="auto"/>
            </w:tcBorders>
            <w:shd w:val="clear" w:color="auto" w:fill="auto"/>
            <w:noWrap/>
            <w:vAlign w:val="bottom"/>
          </w:tcPr>
          <w:p w:rsidR="000B39A5" w:rsidRPr="000B39A5" w:rsidRDefault="000B39A5" w:rsidP="000B39A5">
            <w:pPr>
              <w:spacing w:after="0"/>
              <w:jc w:val="right"/>
              <w:rPr>
                <w:rFonts w:cs="Arial"/>
                <w:b/>
                <w:bCs/>
                <w:color w:val="auto"/>
                <w:sz w:val="22"/>
                <w:szCs w:val="22"/>
              </w:rPr>
            </w:pPr>
            <w:r w:rsidRPr="000B39A5">
              <w:rPr>
                <w:rFonts w:cs="Arial"/>
                <w:b/>
                <w:bCs/>
                <w:color w:val="auto"/>
                <w:sz w:val="22"/>
                <w:szCs w:val="22"/>
              </w:rPr>
              <w:t>(6,197)</w:t>
            </w:r>
          </w:p>
        </w:tc>
      </w:tr>
      <w:tr w:rsidR="000B39A5" w:rsidRPr="000B39A5" w:rsidTr="000B39A5">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tcPr>
          <w:p w:rsidR="000B39A5" w:rsidRPr="000B39A5" w:rsidRDefault="000B39A5" w:rsidP="000B39A5">
            <w:pPr>
              <w:spacing w:after="0"/>
              <w:rPr>
                <w:rFonts w:cs="Arial"/>
                <w:b/>
                <w:bCs/>
                <w:color w:val="auto"/>
                <w:sz w:val="22"/>
                <w:szCs w:val="22"/>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0B39A5" w:rsidRPr="000B39A5" w:rsidRDefault="000B39A5" w:rsidP="000B39A5">
            <w:pPr>
              <w:spacing w:after="0"/>
              <w:jc w:val="right"/>
              <w:rPr>
                <w:rFonts w:cs="Arial"/>
                <w:b/>
                <w:bCs/>
                <w:color w:val="auto"/>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rsidR="000B39A5" w:rsidRPr="000B39A5" w:rsidRDefault="000B39A5" w:rsidP="000B39A5">
            <w:pPr>
              <w:spacing w:after="0"/>
              <w:jc w:val="right"/>
              <w:rPr>
                <w:rFonts w:cs="Arial"/>
                <w:b/>
                <w:bCs/>
                <w:color w:val="auto"/>
                <w:sz w:val="22"/>
                <w:szCs w:val="22"/>
              </w:rPr>
            </w:pPr>
          </w:p>
        </w:tc>
        <w:tc>
          <w:tcPr>
            <w:tcW w:w="1158" w:type="dxa"/>
            <w:tcBorders>
              <w:top w:val="nil"/>
              <w:left w:val="nil"/>
              <w:bottom w:val="single" w:sz="4" w:space="0" w:color="auto"/>
              <w:right w:val="single" w:sz="4" w:space="0" w:color="auto"/>
            </w:tcBorders>
            <w:shd w:val="clear" w:color="auto" w:fill="auto"/>
            <w:noWrap/>
            <w:vAlign w:val="bottom"/>
          </w:tcPr>
          <w:p w:rsidR="000B39A5" w:rsidRPr="000B39A5" w:rsidRDefault="000B39A5" w:rsidP="000B39A5">
            <w:pPr>
              <w:spacing w:after="0"/>
              <w:jc w:val="right"/>
              <w:rPr>
                <w:rFonts w:cs="Arial"/>
                <w:b/>
                <w:bCs/>
                <w:color w:val="auto"/>
                <w:sz w:val="22"/>
                <w:szCs w:val="22"/>
              </w:rPr>
            </w:pPr>
          </w:p>
        </w:tc>
      </w:tr>
    </w:tbl>
    <w:p w:rsidR="000B39A5" w:rsidRDefault="000B39A5" w:rsidP="000B39A5">
      <w:pPr>
        <w:pStyle w:val="bParagraphtext"/>
        <w:numPr>
          <w:ilvl w:val="0"/>
          <w:numId w:val="0"/>
        </w:numPr>
        <w:spacing w:after="0"/>
        <w:ind w:left="425"/>
      </w:pPr>
    </w:p>
    <w:p w:rsidR="000B39A5" w:rsidRPr="001356F1" w:rsidRDefault="000B39A5" w:rsidP="000B39A5">
      <w:pPr>
        <w:pStyle w:val="bParagraphtext"/>
        <w:numPr>
          <w:ilvl w:val="0"/>
          <w:numId w:val="0"/>
        </w:numPr>
        <w:spacing w:after="0"/>
        <w:ind w:left="425"/>
      </w:pPr>
    </w:p>
    <w:p w:rsidR="00307033" w:rsidRDefault="000B39A5" w:rsidP="00240F69">
      <w:pPr>
        <w:pStyle w:val="bParagraphtext"/>
      </w:pPr>
      <w:r w:rsidRPr="000B39A5">
        <w:lastRenderedPageBreak/>
        <w:t xml:space="preserve">There was also £8.674 million </w:t>
      </w:r>
      <w:r w:rsidR="00C63CDF">
        <w:t xml:space="preserve">carried </w:t>
      </w:r>
      <w:r w:rsidRPr="000B39A5">
        <w:t xml:space="preserve">forward into 2015/16 from 2014/15 giving a revised budget of £47.579 million.  The outturn position </w:t>
      </w:r>
      <w:r w:rsidR="00DA63F7">
        <w:t xml:space="preserve">shows that </w:t>
      </w:r>
      <w:r w:rsidRPr="000B39A5">
        <w:t xml:space="preserve">£14.87 million </w:t>
      </w:r>
      <w:r w:rsidR="00DA63F7">
        <w:t xml:space="preserve">less than the budget </w:t>
      </w:r>
      <w:proofErr w:type="gramStart"/>
      <w:r w:rsidR="00DA63F7">
        <w:t>has</w:t>
      </w:r>
      <w:proofErr w:type="gramEnd"/>
      <w:r w:rsidR="00DA63F7">
        <w:t xml:space="preserve"> been spent</w:t>
      </w:r>
      <w:r w:rsidRPr="000B39A5">
        <w:t xml:space="preserve">.  The temporary moratorium imposed on both General Fund and HRA Capital schemes agreed by members at CEB on the 10th September (lifted in December) due to uncertainties around Government funding especially in the HRA was the main </w:t>
      </w:r>
      <w:r w:rsidR="00A27956">
        <w:t>cause of the underspend</w:t>
      </w:r>
      <w:r w:rsidRPr="000B39A5">
        <w:t>.  Overall spend was 6</w:t>
      </w:r>
      <w:r w:rsidR="00CD2A56">
        <w:t>9</w:t>
      </w:r>
      <w:r w:rsidRPr="000B39A5">
        <w:t xml:space="preserve">% of the budget compared to 76% (£48.7million spent) in 2014/15.  Major variations </w:t>
      </w:r>
      <w:r w:rsidR="00240F69">
        <w:t xml:space="preserve">to the Capital Programme were reported </w:t>
      </w:r>
      <w:r w:rsidR="00054C4D">
        <w:t xml:space="preserve">in detail </w:t>
      </w:r>
      <w:r w:rsidR="00240F69">
        <w:t>to the June 2016 meeting of this Board</w:t>
      </w:r>
      <w:r w:rsidR="00054C4D">
        <w:t>.</w:t>
      </w:r>
    </w:p>
    <w:p w:rsidR="00E87F7A" w:rsidRDefault="00240F69" w:rsidP="00240F69">
      <w:pPr>
        <w:pStyle w:val="bParagraphtext"/>
      </w:pPr>
      <w:r>
        <w:t xml:space="preserve"> </w:t>
      </w:r>
      <w:r w:rsidR="0004715F">
        <w:t xml:space="preserve">It was originally planned to take out prudential borrowing to </w:t>
      </w:r>
      <w:r w:rsidR="00886756">
        <w:t xml:space="preserve">finance HRA expenditure, </w:t>
      </w:r>
      <w:r w:rsidR="00DB0BD1">
        <w:t xml:space="preserve">however the HRA new build investment plans had to be scaled back due to Government legislative proposals which led to a revision of the </w:t>
      </w:r>
      <w:r w:rsidR="00307033">
        <w:t>P</w:t>
      </w:r>
      <w:r w:rsidR="00DB0BD1">
        <w:t>rogramme and</w:t>
      </w:r>
      <w:r w:rsidR="00307033">
        <w:t xml:space="preserve"> </w:t>
      </w:r>
      <w:proofErr w:type="gramStart"/>
      <w:r w:rsidR="005708F5">
        <w:t>its</w:t>
      </w:r>
      <w:proofErr w:type="gramEnd"/>
      <w:r w:rsidR="00307033">
        <w:t xml:space="preserve"> financing</w:t>
      </w:r>
      <w:r w:rsidR="00886756">
        <w:t>.  The use of capital grants and contributions were higher than budgeted; the main reason for this was additional funding received for the Oxpens development site.</w:t>
      </w:r>
    </w:p>
    <w:p w:rsidR="00100D19" w:rsidRPr="00F94D74" w:rsidRDefault="00100D19" w:rsidP="00100D19">
      <w:pPr>
        <w:rPr>
          <w:b/>
          <w:i/>
        </w:rPr>
      </w:pPr>
      <w:r w:rsidRPr="00100D19">
        <w:rPr>
          <w:b/>
        </w:rPr>
        <w:t>The Council’s Overall Borrowing Need</w:t>
      </w:r>
    </w:p>
    <w:p w:rsidR="000B39A5" w:rsidRDefault="00100D19" w:rsidP="00100D19">
      <w:pPr>
        <w:pStyle w:val="bParagraphtext"/>
      </w:pPr>
      <w:r w:rsidRPr="00100D19">
        <w:t>The Council’s underlying need to borrow, or Capital Financing Requirement (CFR), is a gauge of the Council’s level of indebtedness.  It represents all prior years’ net capital expenditure which has not been financed by other means</w:t>
      </w:r>
      <w:r w:rsidR="00E92925">
        <w:t>, i.e.</w:t>
      </w:r>
      <w:r w:rsidRPr="00100D19">
        <w:t xml:space="preserve"> revenue, capital receipts, grants etc.</w:t>
      </w:r>
    </w:p>
    <w:p w:rsidR="00100D19" w:rsidRDefault="00100D19" w:rsidP="00100D19">
      <w:pPr>
        <w:pStyle w:val="bParagraphtext"/>
      </w:pPr>
      <w:r w:rsidRPr="00100D19">
        <w:t>The CFR can be reduced by:</w:t>
      </w:r>
    </w:p>
    <w:p w:rsidR="00100D19" w:rsidRPr="003F55A6" w:rsidRDefault="00100D19" w:rsidP="00100D19">
      <w:pPr>
        <w:numPr>
          <w:ilvl w:val="1"/>
          <w:numId w:val="37"/>
        </w:numPr>
        <w:tabs>
          <w:tab w:val="clear" w:pos="1260"/>
          <w:tab w:val="num" w:pos="1134"/>
        </w:tabs>
        <w:spacing w:after="0"/>
        <w:ind w:left="1134" w:hanging="360"/>
      </w:pPr>
      <w:r w:rsidRPr="003F55A6">
        <w:t>The application of additional capital resources, such as unapplied capital receipts; or</w:t>
      </w:r>
    </w:p>
    <w:p w:rsidR="00100D19" w:rsidRDefault="00100D19" w:rsidP="00100D19">
      <w:pPr>
        <w:numPr>
          <w:ilvl w:val="1"/>
          <w:numId w:val="37"/>
        </w:numPr>
        <w:tabs>
          <w:tab w:val="clear" w:pos="1260"/>
          <w:tab w:val="num" w:pos="1134"/>
        </w:tabs>
        <w:spacing w:after="0"/>
        <w:ind w:left="1134" w:hanging="360"/>
      </w:pPr>
      <w:r w:rsidRPr="003F55A6">
        <w:t xml:space="preserve">By </w:t>
      </w:r>
      <w:r>
        <w:t>charg</w:t>
      </w:r>
      <w:r w:rsidRPr="003F55A6">
        <w:t xml:space="preserve">ing a </w:t>
      </w:r>
      <w:r>
        <w:t>Minimum Revenue Provision (MRP), or a V</w:t>
      </w:r>
      <w:r w:rsidRPr="003F55A6">
        <w:t xml:space="preserve">oluntary </w:t>
      </w:r>
      <w:r>
        <w:t>R</w:t>
      </w:r>
      <w:r w:rsidRPr="003F55A6">
        <w:t xml:space="preserve">evenue </w:t>
      </w:r>
      <w:r>
        <w:t>P</w:t>
      </w:r>
      <w:r w:rsidR="00EA1ADC">
        <w:t>rovision (VRP)</w:t>
      </w:r>
    </w:p>
    <w:p w:rsidR="00EA1ADC" w:rsidRPr="003F55A6" w:rsidRDefault="00EA1ADC" w:rsidP="00EA1ADC">
      <w:pPr>
        <w:spacing w:after="0"/>
        <w:ind w:left="1134"/>
      </w:pPr>
    </w:p>
    <w:p w:rsidR="00100D19" w:rsidRDefault="00100D19" w:rsidP="00100D19">
      <w:pPr>
        <w:pStyle w:val="bParagraphtext"/>
      </w:pPr>
      <w:r w:rsidRPr="00100D19">
        <w:t>Table 2 below shows the Council’s CFR as at the 31 March 2016, this is a key prudential indicator, and shows that actual borrowing is below the CFR:</w:t>
      </w:r>
    </w:p>
    <w:p w:rsidR="00100D19" w:rsidRDefault="00100D19" w:rsidP="00100D19">
      <w:pPr>
        <w:pStyle w:val="bParagraphtext"/>
        <w:numPr>
          <w:ilvl w:val="0"/>
          <w:numId w:val="0"/>
        </w:numPr>
        <w:spacing w:after="0"/>
        <w:ind w:left="425"/>
      </w:pPr>
    </w:p>
    <w:p w:rsidR="00100D19" w:rsidRPr="00100D19" w:rsidRDefault="00100D19" w:rsidP="00100D19">
      <w:pPr>
        <w:spacing w:after="0"/>
        <w:ind w:left="426"/>
        <w:rPr>
          <w:b/>
          <w:color w:val="auto"/>
          <w:lang w:eastAsia="en-US"/>
        </w:rPr>
      </w:pPr>
      <w:r w:rsidRPr="00100D19">
        <w:rPr>
          <w:b/>
          <w:color w:val="auto"/>
          <w:lang w:eastAsia="en-US"/>
        </w:rPr>
        <w:t>Table 2</w:t>
      </w:r>
    </w:p>
    <w:tbl>
      <w:tblPr>
        <w:tblW w:w="7480" w:type="dxa"/>
        <w:tblInd w:w="529" w:type="dxa"/>
        <w:tblLook w:val="04A0" w:firstRow="1" w:lastRow="0" w:firstColumn="1" w:lastColumn="0" w:noHBand="0" w:noVBand="1"/>
      </w:tblPr>
      <w:tblGrid>
        <w:gridCol w:w="3220"/>
        <w:gridCol w:w="1420"/>
        <w:gridCol w:w="1420"/>
        <w:gridCol w:w="1420"/>
      </w:tblGrid>
      <w:tr w:rsidR="00100D19" w:rsidRPr="00100D19" w:rsidTr="00100D19">
        <w:trPr>
          <w:trHeight w:val="600"/>
        </w:trPr>
        <w:tc>
          <w:tcPr>
            <w:tcW w:w="3220" w:type="dxa"/>
            <w:tcBorders>
              <w:top w:val="single" w:sz="4" w:space="0" w:color="auto"/>
              <w:left w:val="single" w:sz="4" w:space="0" w:color="auto"/>
              <w:bottom w:val="nil"/>
              <w:right w:val="single" w:sz="4" w:space="0" w:color="auto"/>
            </w:tcBorders>
            <w:shd w:val="clear" w:color="000000" w:fill="D9D9D9"/>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CFR</w:t>
            </w:r>
          </w:p>
        </w:tc>
        <w:tc>
          <w:tcPr>
            <w:tcW w:w="1420" w:type="dxa"/>
            <w:tcBorders>
              <w:top w:val="single" w:sz="4" w:space="0" w:color="auto"/>
              <w:left w:val="single" w:sz="4" w:space="0" w:color="auto"/>
              <w:bottom w:val="nil"/>
              <w:right w:val="single" w:sz="4" w:space="0" w:color="auto"/>
            </w:tcBorders>
            <w:shd w:val="clear" w:color="000000" w:fill="D9D9D9"/>
            <w:vAlign w:val="bottom"/>
            <w:hideMark/>
          </w:tcPr>
          <w:p w:rsidR="00100D19" w:rsidRPr="00100D19" w:rsidRDefault="00EA1ADC" w:rsidP="00100D19">
            <w:pPr>
              <w:spacing w:after="0"/>
              <w:jc w:val="center"/>
              <w:rPr>
                <w:rFonts w:cs="Arial"/>
                <w:b/>
                <w:bCs/>
                <w:color w:val="auto"/>
                <w:sz w:val="22"/>
                <w:szCs w:val="22"/>
              </w:rPr>
            </w:pPr>
            <w:r>
              <w:rPr>
                <w:rFonts w:cs="Arial"/>
                <w:b/>
                <w:bCs/>
                <w:color w:val="auto"/>
                <w:sz w:val="22"/>
                <w:szCs w:val="22"/>
              </w:rPr>
              <w:t>31</w:t>
            </w:r>
            <w:r w:rsidR="00100D19" w:rsidRPr="00100D19">
              <w:rPr>
                <w:rFonts w:cs="Arial"/>
                <w:b/>
                <w:bCs/>
                <w:color w:val="auto"/>
                <w:sz w:val="22"/>
                <w:szCs w:val="22"/>
              </w:rPr>
              <w:t xml:space="preserve"> March 2016</w:t>
            </w:r>
          </w:p>
        </w:tc>
        <w:tc>
          <w:tcPr>
            <w:tcW w:w="1420" w:type="dxa"/>
            <w:tcBorders>
              <w:top w:val="single" w:sz="4" w:space="0" w:color="auto"/>
              <w:left w:val="nil"/>
              <w:bottom w:val="nil"/>
              <w:right w:val="single" w:sz="4" w:space="0" w:color="auto"/>
            </w:tcBorders>
            <w:shd w:val="clear" w:color="000000" w:fill="D9D9D9"/>
            <w:vAlign w:val="bottom"/>
            <w:hideMark/>
          </w:tcPr>
          <w:p w:rsidR="00100D19" w:rsidRPr="00100D19" w:rsidRDefault="00EA1ADC" w:rsidP="00100D19">
            <w:pPr>
              <w:spacing w:after="0"/>
              <w:jc w:val="center"/>
              <w:rPr>
                <w:rFonts w:cs="Arial"/>
                <w:b/>
                <w:bCs/>
                <w:color w:val="auto"/>
                <w:sz w:val="22"/>
                <w:szCs w:val="22"/>
              </w:rPr>
            </w:pPr>
            <w:r>
              <w:rPr>
                <w:rFonts w:cs="Arial"/>
                <w:b/>
                <w:bCs/>
                <w:color w:val="auto"/>
                <w:sz w:val="22"/>
                <w:szCs w:val="22"/>
              </w:rPr>
              <w:t>31</w:t>
            </w:r>
            <w:r w:rsidR="00100D19" w:rsidRPr="00100D19">
              <w:rPr>
                <w:rFonts w:cs="Arial"/>
                <w:b/>
                <w:bCs/>
                <w:color w:val="auto"/>
                <w:sz w:val="22"/>
                <w:szCs w:val="22"/>
              </w:rPr>
              <w:t xml:space="preserve"> March 2016</w:t>
            </w:r>
          </w:p>
        </w:tc>
        <w:tc>
          <w:tcPr>
            <w:tcW w:w="1420" w:type="dxa"/>
            <w:tcBorders>
              <w:top w:val="single" w:sz="4" w:space="0" w:color="auto"/>
              <w:left w:val="nil"/>
              <w:bottom w:val="nil"/>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Variation</w:t>
            </w:r>
          </w:p>
        </w:tc>
      </w:tr>
      <w:tr w:rsidR="00100D19" w:rsidRPr="00100D19" w:rsidTr="00100D19">
        <w:trPr>
          <w:trHeight w:val="300"/>
        </w:trPr>
        <w:tc>
          <w:tcPr>
            <w:tcW w:w="3220" w:type="dxa"/>
            <w:tcBorders>
              <w:top w:val="nil"/>
              <w:left w:val="single" w:sz="4" w:space="0" w:color="auto"/>
              <w:bottom w:val="nil"/>
              <w:right w:val="single" w:sz="4" w:space="0" w:color="auto"/>
            </w:tcBorders>
            <w:shd w:val="clear" w:color="000000" w:fill="D9D9D9"/>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 </w:t>
            </w:r>
          </w:p>
        </w:tc>
        <w:tc>
          <w:tcPr>
            <w:tcW w:w="1420" w:type="dxa"/>
            <w:tcBorders>
              <w:top w:val="nil"/>
              <w:left w:val="single" w:sz="4" w:space="0" w:color="auto"/>
              <w:bottom w:val="nil"/>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Estimate</w:t>
            </w:r>
          </w:p>
        </w:tc>
        <w:tc>
          <w:tcPr>
            <w:tcW w:w="1420" w:type="dxa"/>
            <w:tcBorders>
              <w:top w:val="nil"/>
              <w:left w:val="nil"/>
              <w:bottom w:val="nil"/>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Actual</w:t>
            </w:r>
          </w:p>
        </w:tc>
        <w:tc>
          <w:tcPr>
            <w:tcW w:w="1420" w:type="dxa"/>
            <w:tcBorders>
              <w:top w:val="nil"/>
              <w:left w:val="nil"/>
              <w:bottom w:val="nil"/>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 </w:t>
            </w:r>
          </w:p>
        </w:tc>
      </w:tr>
      <w:tr w:rsidR="00100D19" w:rsidRPr="00100D19" w:rsidTr="00100D19">
        <w:trPr>
          <w:trHeight w:val="300"/>
        </w:trPr>
        <w:tc>
          <w:tcPr>
            <w:tcW w:w="3220" w:type="dxa"/>
            <w:tcBorders>
              <w:top w:val="nil"/>
              <w:left w:val="single" w:sz="4" w:space="0" w:color="auto"/>
              <w:bottom w:val="single" w:sz="4" w:space="0" w:color="auto"/>
              <w:right w:val="single" w:sz="4" w:space="0" w:color="auto"/>
            </w:tcBorders>
            <w:shd w:val="clear" w:color="000000" w:fill="D9D9D9"/>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 </w:t>
            </w:r>
          </w:p>
        </w:tc>
        <w:tc>
          <w:tcPr>
            <w:tcW w:w="1420" w:type="dxa"/>
            <w:tcBorders>
              <w:top w:val="nil"/>
              <w:left w:val="single" w:sz="4" w:space="0" w:color="auto"/>
              <w:bottom w:val="single" w:sz="4" w:space="0" w:color="auto"/>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£'000</w:t>
            </w:r>
          </w:p>
        </w:tc>
        <w:tc>
          <w:tcPr>
            <w:tcW w:w="1420" w:type="dxa"/>
            <w:tcBorders>
              <w:top w:val="nil"/>
              <w:left w:val="nil"/>
              <w:bottom w:val="single" w:sz="4" w:space="0" w:color="auto"/>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£'000</w:t>
            </w:r>
          </w:p>
        </w:tc>
        <w:tc>
          <w:tcPr>
            <w:tcW w:w="1420" w:type="dxa"/>
            <w:tcBorders>
              <w:top w:val="nil"/>
              <w:left w:val="nil"/>
              <w:bottom w:val="single" w:sz="4" w:space="0" w:color="auto"/>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£'000</w:t>
            </w:r>
          </w:p>
        </w:tc>
      </w:tr>
      <w:tr w:rsidR="00100D19" w:rsidRPr="00100D19" w:rsidTr="00100D19">
        <w:trPr>
          <w:trHeight w:val="300"/>
        </w:trPr>
        <w:tc>
          <w:tcPr>
            <w:tcW w:w="3220" w:type="dxa"/>
            <w:tcBorders>
              <w:top w:val="nil"/>
              <w:left w:val="single" w:sz="4" w:space="0" w:color="auto"/>
              <w:bottom w:val="nil"/>
              <w:right w:val="single" w:sz="4" w:space="0" w:color="auto"/>
            </w:tcBorders>
            <w:shd w:val="clear" w:color="auto" w:fill="auto"/>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Opening Balance</w:t>
            </w: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222,962</w:t>
            </w: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220,706</w:t>
            </w: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(2,256)</w:t>
            </w:r>
          </w:p>
        </w:tc>
      </w:tr>
      <w:tr w:rsidR="00100D19" w:rsidRPr="00100D19" w:rsidTr="00100D19">
        <w:trPr>
          <w:trHeight w:val="300"/>
        </w:trPr>
        <w:tc>
          <w:tcPr>
            <w:tcW w:w="3220" w:type="dxa"/>
            <w:tcBorders>
              <w:top w:val="nil"/>
              <w:left w:val="single" w:sz="4" w:space="0" w:color="auto"/>
              <w:bottom w:val="nil"/>
              <w:right w:val="single" w:sz="4" w:space="0" w:color="auto"/>
            </w:tcBorders>
            <w:shd w:val="clear" w:color="auto" w:fill="auto"/>
            <w:noWrap/>
            <w:vAlign w:val="bottom"/>
            <w:hideMark/>
          </w:tcPr>
          <w:p w:rsidR="00100D19" w:rsidRPr="00100D19" w:rsidRDefault="00100D19" w:rsidP="00100D19">
            <w:pPr>
              <w:spacing w:after="0"/>
              <w:rPr>
                <w:rFonts w:cs="Arial"/>
                <w:color w:val="auto"/>
                <w:sz w:val="22"/>
                <w:szCs w:val="22"/>
              </w:rPr>
            </w:pPr>
            <w:r w:rsidRPr="00100D19">
              <w:rPr>
                <w:rFonts w:cs="Arial"/>
                <w:color w:val="auto"/>
                <w:sz w:val="22"/>
                <w:szCs w:val="22"/>
              </w:rPr>
              <w:t>Prudential Borrowing</w:t>
            </w: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r w:rsidRPr="00100D19">
              <w:rPr>
                <w:rFonts w:cs="Arial"/>
                <w:color w:val="auto"/>
                <w:sz w:val="22"/>
                <w:szCs w:val="22"/>
              </w:rPr>
              <w:t>3,268</w:t>
            </w: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r w:rsidRPr="00100D19">
              <w:rPr>
                <w:rFonts w:cs="Arial"/>
                <w:color w:val="auto"/>
                <w:sz w:val="22"/>
                <w:szCs w:val="22"/>
              </w:rPr>
              <w:t>0</w:t>
            </w: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(3,268)</w:t>
            </w:r>
          </w:p>
        </w:tc>
      </w:tr>
      <w:tr w:rsidR="00100D19" w:rsidRPr="00100D19" w:rsidTr="00100D19">
        <w:trPr>
          <w:trHeight w:val="300"/>
        </w:trPr>
        <w:tc>
          <w:tcPr>
            <w:tcW w:w="3220" w:type="dxa"/>
            <w:tcBorders>
              <w:top w:val="nil"/>
              <w:left w:val="single" w:sz="4" w:space="0" w:color="auto"/>
              <w:bottom w:val="nil"/>
              <w:right w:val="single" w:sz="4" w:space="0" w:color="auto"/>
            </w:tcBorders>
            <w:shd w:val="clear" w:color="auto" w:fill="auto"/>
            <w:noWrap/>
            <w:vAlign w:val="bottom"/>
            <w:hideMark/>
          </w:tcPr>
          <w:p w:rsidR="00100D19" w:rsidRPr="00100D19" w:rsidRDefault="00100D19" w:rsidP="00100D19">
            <w:pPr>
              <w:spacing w:after="0"/>
              <w:rPr>
                <w:rFonts w:cs="Arial"/>
                <w:color w:val="auto"/>
                <w:sz w:val="22"/>
                <w:szCs w:val="22"/>
              </w:rPr>
            </w:pPr>
            <w:r w:rsidRPr="00100D19">
              <w:rPr>
                <w:rFonts w:cs="Arial"/>
                <w:color w:val="auto"/>
                <w:sz w:val="22"/>
                <w:szCs w:val="22"/>
              </w:rPr>
              <w:t>Minimum Revenue Provision</w:t>
            </w: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r w:rsidRPr="00100D19">
              <w:rPr>
                <w:rFonts w:cs="Arial"/>
                <w:color w:val="auto"/>
                <w:sz w:val="22"/>
                <w:szCs w:val="22"/>
              </w:rPr>
              <w:t>(1,113)</w:t>
            </w: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r w:rsidRPr="00100D19">
              <w:rPr>
                <w:rFonts w:cs="Arial"/>
                <w:color w:val="auto"/>
                <w:sz w:val="22"/>
                <w:szCs w:val="22"/>
              </w:rPr>
              <w:t>(37)</w:t>
            </w: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(1,076)</w:t>
            </w:r>
          </w:p>
        </w:tc>
      </w:tr>
      <w:tr w:rsidR="00100D19" w:rsidRPr="00100D19" w:rsidTr="00100D19">
        <w:trPr>
          <w:trHeight w:val="300"/>
        </w:trPr>
        <w:tc>
          <w:tcPr>
            <w:tcW w:w="3220" w:type="dxa"/>
            <w:tcBorders>
              <w:top w:val="nil"/>
              <w:left w:val="single" w:sz="4" w:space="0" w:color="auto"/>
              <w:bottom w:val="nil"/>
              <w:right w:val="single" w:sz="4" w:space="0" w:color="auto"/>
            </w:tcBorders>
            <w:shd w:val="clear" w:color="auto" w:fill="auto"/>
            <w:noWrap/>
            <w:vAlign w:val="bottom"/>
            <w:hideMark/>
          </w:tcPr>
          <w:p w:rsidR="00100D19" w:rsidRPr="00100D19" w:rsidRDefault="00100D19" w:rsidP="00100D19">
            <w:pPr>
              <w:spacing w:after="0"/>
              <w:rPr>
                <w:rFonts w:cs="Arial"/>
                <w:color w:val="auto"/>
                <w:sz w:val="22"/>
                <w:szCs w:val="22"/>
              </w:rPr>
            </w:pP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p>
        </w:tc>
      </w:tr>
      <w:tr w:rsidR="00100D19" w:rsidRPr="00100D19" w:rsidTr="00100D19">
        <w:trPr>
          <w:trHeight w:val="300"/>
        </w:trPr>
        <w:tc>
          <w:tcPr>
            <w:tcW w:w="3220" w:type="dxa"/>
            <w:tcBorders>
              <w:top w:val="nil"/>
              <w:left w:val="single" w:sz="4" w:space="0" w:color="auto"/>
              <w:bottom w:val="nil"/>
              <w:right w:val="single" w:sz="4" w:space="0" w:color="auto"/>
            </w:tcBorders>
            <w:shd w:val="clear" w:color="auto" w:fill="auto"/>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CFR Closing Balance</w:t>
            </w: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225,117</w:t>
            </w: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220,669</w:t>
            </w: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(4,448)</w:t>
            </w:r>
          </w:p>
        </w:tc>
      </w:tr>
      <w:tr w:rsidR="00100D19" w:rsidRPr="00100D19" w:rsidTr="00100D19">
        <w:trPr>
          <w:trHeight w:val="300"/>
        </w:trPr>
        <w:tc>
          <w:tcPr>
            <w:tcW w:w="3220" w:type="dxa"/>
            <w:tcBorders>
              <w:top w:val="nil"/>
              <w:left w:val="single" w:sz="4" w:space="0" w:color="auto"/>
              <w:bottom w:val="nil"/>
              <w:right w:val="single" w:sz="4" w:space="0" w:color="auto"/>
            </w:tcBorders>
            <w:shd w:val="clear" w:color="auto" w:fill="auto"/>
            <w:noWrap/>
            <w:vAlign w:val="bottom"/>
          </w:tcPr>
          <w:p w:rsidR="00100D19" w:rsidRPr="00100D19" w:rsidRDefault="00100D19" w:rsidP="00100D19">
            <w:pPr>
              <w:spacing w:after="0"/>
              <w:rPr>
                <w:rFonts w:cs="Arial"/>
                <w:b/>
                <w:bCs/>
                <w:color w:val="auto"/>
                <w:sz w:val="22"/>
                <w:szCs w:val="22"/>
              </w:rPr>
            </w:pPr>
            <w:r w:rsidRPr="00100D19">
              <w:rPr>
                <w:rFonts w:cs="Arial"/>
                <w:b/>
                <w:bCs/>
                <w:color w:val="auto"/>
                <w:sz w:val="22"/>
                <w:szCs w:val="22"/>
              </w:rPr>
              <w:t>External Borrowing</w:t>
            </w: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201,770</w:t>
            </w: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198,528</w:t>
            </w: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(3,242)</w:t>
            </w:r>
          </w:p>
        </w:tc>
      </w:tr>
      <w:tr w:rsidR="00100D19" w:rsidRPr="00100D19" w:rsidTr="00100D19">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tcPr>
          <w:p w:rsidR="00100D19" w:rsidRPr="00100D19" w:rsidRDefault="00100D19" w:rsidP="00100D19">
            <w:pPr>
              <w:spacing w:after="0"/>
              <w:rPr>
                <w:rFonts w:cs="Arial"/>
                <w:b/>
                <w:bCs/>
                <w:color w:val="auto"/>
                <w:sz w:val="22"/>
                <w:szCs w:val="22"/>
              </w:rPr>
            </w:pPr>
            <w:r w:rsidRPr="00100D19">
              <w:rPr>
                <w:rFonts w:cs="Arial"/>
                <w:b/>
                <w:bCs/>
                <w:color w:val="auto"/>
                <w:sz w:val="22"/>
                <w:szCs w:val="22"/>
              </w:rPr>
              <w:t>Variation</w:t>
            </w:r>
          </w:p>
        </w:tc>
        <w:tc>
          <w:tcPr>
            <w:tcW w:w="1420" w:type="dxa"/>
            <w:tcBorders>
              <w:top w:val="nil"/>
              <w:left w:val="nil"/>
              <w:bottom w:val="single" w:sz="4" w:space="0" w:color="auto"/>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(23,347)</w:t>
            </w:r>
          </w:p>
        </w:tc>
        <w:tc>
          <w:tcPr>
            <w:tcW w:w="1420" w:type="dxa"/>
            <w:tcBorders>
              <w:top w:val="nil"/>
              <w:left w:val="nil"/>
              <w:bottom w:val="single" w:sz="4" w:space="0" w:color="auto"/>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(22,141)</w:t>
            </w:r>
          </w:p>
        </w:tc>
        <w:tc>
          <w:tcPr>
            <w:tcW w:w="1420" w:type="dxa"/>
            <w:tcBorders>
              <w:top w:val="nil"/>
              <w:left w:val="nil"/>
              <w:bottom w:val="single" w:sz="4" w:space="0" w:color="auto"/>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p>
        </w:tc>
      </w:tr>
    </w:tbl>
    <w:p w:rsidR="00100D19" w:rsidRDefault="00100D19" w:rsidP="00100D19">
      <w:pPr>
        <w:pStyle w:val="bParagraphtext"/>
        <w:numPr>
          <w:ilvl w:val="0"/>
          <w:numId w:val="0"/>
        </w:numPr>
        <w:spacing w:after="0"/>
        <w:ind w:left="425"/>
      </w:pPr>
    </w:p>
    <w:p w:rsidR="00100D19" w:rsidRDefault="00100D19" w:rsidP="00100D19">
      <w:pPr>
        <w:pStyle w:val="bParagraphtext"/>
      </w:pPr>
      <w:r w:rsidRPr="00100D19">
        <w:t>No new debt was taken out during 2015/16 and as at 31 March 2016 the Council’s total external debt was £198.5 million.  This is below the CFR and indicates that the Council continues to internally borrow.  The MRP was reduced from that estimated due to</w:t>
      </w:r>
      <w:r w:rsidR="002F5B4D">
        <w:t>:</w:t>
      </w:r>
      <w:r w:rsidRPr="00100D19">
        <w:t xml:space="preserve"> a</w:t>
      </w:r>
      <w:r w:rsidR="002F5B4D">
        <w:t>)</w:t>
      </w:r>
      <w:r w:rsidRPr="00100D19">
        <w:t xml:space="preserve"> </w:t>
      </w:r>
      <w:r w:rsidR="002F5B4D">
        <w:t>the decision to fund new</w:t>
      </w:r>
      <w:r w:rsidRPr="00100D19">
        <w:t xml:space="preserve"> vehicles from capital receipts </w:t>
      </w:r>
      <w:r w:rsidR="00DA63F7">
        <w:t xml:space="preserve">in 2014/15 </w:t>
      </w:r>
      <w:r w:rsidRPr="00100D19">
        <w:t xml:space="preserve">and </w:t>
      </w:r>
      <w:r w:rsidR="002F5B4D">
        <w:t xml:space="preserve">hence no </w:t>
      </w:r>
      <w:r w:rsidRPr="00100D19">
        <w:t xml:space="preserve">MRP </w:t>
      </w:r>
      <w:r w:rsidR="002F5B4D">
        <w:t>being required</w:t>
      </w:r>
      <w:r w:rsidR="00DA63F7">
        <w:t xml:space="preserve"> for borrowing in relation to vehicles in 2015/16</w:t>
      </w:r>
      <w:r w:rsidR="002F5B4D">
        <w:t xml:space="preserve"> and </w:t>
      </w:r>
      <w:r w:rsidR="002F5B4D">
        <w:lastRenderedPageBreak/>
        <w:t>b)</w:t>
      </w:r>
      <w:r w:rsidRPr="00100D19">
        <w:t xml:space="preserve"> a reduction in the MRP that the Council make</w:t>
      </w:r>
      <w:r w:rsidR="00F817ED">
        <w:t>s</w:t>
      </w:r>
      <w:r w:rsidRPr="00100D19">
        <w:t xml:space="preserve"> on the non-Housing assets transferred from the HRA to the General Fund</w:t>
      </w:r>
      <w:r w:rsidR="00F817ED">
        <w:t xml:space="preserve"> due to a reassessment of the calculation</w:t>
      </w:r>
      <w:r w:rsidRPr="00100D19">
        <w:t>.</w:t>
      </w:r>
    </w:p>
    <w:p w:rsidR="00100D19" w:rsidRPr="00F94D74" w:rsidRDefault="00100D19" w:rsidP="00100D19">
      <w:pPr>
        <w:rPr>
          <w:b/>
          <w:i/>
        </w:rPr>
      </w:pPr>
      <w:r w:rsidRPr="00100D19">
        <w:rPr>
          <w:b/>
        </w:rPr>
        <w:t xml:space="preserve">Treasury Position at </w:t>
      </w:r>
      <w:r w:rsidR="00EA1ADC">
        <w:rPr>
          <w:b/>
        </w:rPr>
        <w:t>31</w:t>
      </w:r>
      <w:r w:rsidRPr="00100D19">
        <w:rPr>
          <w:b/>
        </w:rPr>
        <w:t xml:space="preserve"> March 2016</w:t>
      </w:r>
    </w:p>
    <w:p w:rsidR="00100D19" w:rsidRDefault="00100D19" w:rsidP="00100D19">
      <w:pPr>
        <w:pStyle w:val="bParagraphtext"/>
      </w:pPr>
      <w:r w:rsidRPr="00100D19">
        <w:t>Whilst the Council’s gauge of its underlying need to borrow is the CFR, the treasury function manages the Council’s actual borrowing position by either:</w:t>
      </w:r>
    </w:p>
    <w:p w:rsidR="00100D19" w:rsidRPr="00737EAE" w:rsidRDefault="00100D19" w:rsidP="00100D19">
      <w:pPr>
        <w:numPr>
          <w:ilvl w:val="1"/>
          <w:numId w:val="37"/>
        </w:numPr>
        <w:tabs>
          <w:tab w:val="left" w:pos="900"/>
        </w:tabs>
        <w:spacing w:after="0"/>
      </w:pPr>
      <w:r w:rsidRPr="00737EAE">
        <w:t>Borrowing to the CFR;</w:t>
      </w:r>
    </w:p>
    <w:p w:rsidR="00100D19" w:rsidRPr="00737EAE" w:rsidRDefault="00100D19" w:rsidP="00100D19">
      <w:pPr>
        <w:numPr>
          <w:ilvl w:val="1"/>
          <w:numId w:val="37"/>
        </w:numPr>
        <w:spacing w:after="0"/>
      </w:pPr>
      <w:r w:rsidRPr="00737EAE">
        <w:t>Choosing to utilise temporary cash flow funds, instead of borrowing (known as “under borrowing”);</w:t>
      </w:r>
    </w:p>
    <w:p w:rsidR="00100D19" w:rsidRPr="00737EAE" w:rsidRDefault="00100D19" w:rsidP="00100D19">
      <w:pPr>
        <w:numPr>
          <w:ilvl w:val="1"/>
          <w:numId w:val="37"/>
        </w:numPr>
        <w:spacing w:after="0"/>
        <w:rPr>
          <w:i/>
        </w:rPr>
      </w:pPr>
      <w:r w:rsidRPr="00737EAE">
        <w:t>Borrowing for future increases in the CFR (borrowing in advance of need</w:t>
      </w:r>
      <w:r w:rsidRPr="00737EAE">
        <w:rPr>
          <w:i/>
        </w:rPr>
        <w:t>)</w:t>
      </w:r>
    </w:p>
    <w:p w:rsidR="00100D19" w:rsidRDefault="00100D19" w:rsidP="00100D19">
      <w:pPr>
        <w:pStyle w:val="bParagraphtext"/>
      </w:pPr>
      <w:r w:rsidRPr="00100D19">
        <w:t xml:space="preserve">The Council’s treasury position as at the </w:t>
      </w:r>
      <w:r w:rsidR="00EA1ADC">
        <w:t>31</w:t>
      </w:r>
      <w:r w:rsidRPr="00100D19">
        <w:t xml:space="preserve"> March 2016 for both debt and investments, compared with the previous year is set out in Table 3 below:</w:t>
      </w:r>
    </w:p>
    <w:p w:rsidR="00100D19" w:rsidRDefault="00100D19" w:rsidP="00100D19">
      <w:pPr>
        <w:pStyle w:val="bParagraphtext"/>
        <w:numPr>
          <w:ilvl w:val="0"/>
          <w:numId w:val="0"/>
        </w:numPr>
        <w:spacing w:after="0"/>
        <w:ind w:left="425"/>
      </w:pPr>
    </w:p>
    <w:p w:rsidR="00100D19" w:rsidRPr="00100D19" w:rsidRDefault="00100D19" w:rsidP="00100D19">
      <w:pPr>
        <w:spacing w:after="0"/>
        <w:ind w:left="360"/>
        <w:rPr>
          <w:b/>
          <w:color w:val="auto"/>
          <w:lang w:eastAsia="en-US"/>
        </w:rPr>
      </w:pPr>
      <w:r w:rsidRPr="00100D19">
        <w:rPr>
          <w:b/>
          <w:color w:val="auto"/>
          <w:lang w:eastAsia="en-US"/>
        </w:rPr>
        <w:t>Table 3</w:t>
      </w:r>
    </w:p>
    <w:tbl>
      <w:tblPr>
        <w:tblW w:w="8035" w:type="dxa"/>
        <w:tblInd w:w="720" w:type="dxa"/>
        <w:tblLook w:val="04A0" w:firstRow="1" w:lastRow="0" w:firstColumn="1" w:lastColumn="0" w:noHBand="0" w:noVBand="1"/>
      </w:tblPr>
      <w:tblGrid>
        <w:gridCol w:w="3220"/>
        <w:gridCol w:w="1228"/>
        <w:gridCol w:w="1178"/>
        <w:gridCol w:w="1146"/>
        <w:gridCol w:w="1263"/>
      </w:tblGrid>
      <w:tr w:rsidR="00100D19" w:rsidRPr="00100D19" w:rsidTr="00100D19">
        <w:trPr>
          <w:trHeight w:val="300"/>
        </w:trPr>
        <w:tc>
          <w:tcPr>
            <w:tcW w:w="3220" w:type="dxa"/>
            <w:tcBorders>
              <w:top w:val="single" w:sz="4" w:space="0" w:color="auto"/>
              <w:left w:val="single" w:sz="4" w:space="0" w:color="auto"/>
              <w:bottom w:val="nil"/>
              <w:right w:val="single" w:sz="4" w:space="0" w:color="auto"/>
            </w:tcBorders>
            <w:shd w:val="clear" w:color="000000" w:fill="D9D9D9"/>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 </w:t>
            </w:r>
          </w:p>
        </w:tc>
        <w:tc>
          <w:tcPr>
            <w:tcW w:w="2406" w:type="dxa"/>
            <w:gridSpan w:val="2"/>
            <w:tcBorders>
              <w:top w:val="single" w:sz="4" w:space="0" w:color="auto"/>
              <w:left w:val="nil"/>
              <w:bottom w:val="nil"/>
              <w:right w:val="single" w:sz="4" w:space="0" w:color="auto"/>
            </w:tcBorders>
            <w:shd w:val="clear" w:color="000000" w:fill="D9D9D9"/>
            <w:noWrap/>
            <w:vAlign w:val="bottom"/>
            <w:hideMark/>
          </w:tcPr>
          <w:p w:rsidR="00100D19" w:rsidRPr="00100D19" w:rsidRDefault="00EA1ADC" w:rsidP="00100D19">
            <w:pPr>
              <w:spacing w:after="0"/>
              <w:jc w:val="center"/>
              <w:rPr>
                <w:rFonts w:cs="Arial"/>
                <w:b/>
                <w:bCs/>
                <w:color w:val="auto"/>
                <w:sz w:val="22"/>
                <w:szCs w:val="22"/>
              </w:rPr>
            </w:pPr>
            <w:r>
              <w:rPr>
                <w:rFonts w:cs="Arial"/>
                <w:b/>
                <w:bCs/>
                <w:color w:val="auto"/>
                <w:sz w:val="22"/>
                <w:szCs w:val="22"/>
              </w:rPr>
              <w:t>31</w:t>
            </w:r>
            <w:r w:rsidR="00100D19" w:rsidRPr="00100D19">
              <w:rPr>
                <w:rFonts w:cs="Arial"/>
                <w:b/>
                <w:bCs/>
                <w:color w:val="auto"/>
                <w:sz w:val="22"/>
                <w:szCs w:val="22"/>
              </w:rPr>
              <w:t xml:space="preserve"> March 2015</w:t>
            </w:r>
          </w:p>
        </w:tc>
        <w:tc>
          <w:tcPr>
            <w:tcW w:w="2409" w:type="dxa"/>
            <w:gridSpan w:val="2"/>
            <w:tcBorders>
              <w:top w:val="single" w:sz="4" w:space="0" w:color="auto"/>
              <w:left w:val="nil"/>
              <w:bottom w:val="nil"/>
              <w:right w:val="single" w:sz="4" w:space="0" w:color="auto"/>
            </w:tcBorders>
            <w:shd w:val="clear" w:color="000000" w:fill="D9D9D9"/>
            <w:noWrap/>
            <w:vAlign w:val="bottom"/>
            <w:hideMark/>
          </w:tcPr>
          <w:p w:rsidR="00100D19" w:rsidRPr="00100D19" w:rsidRDefault="00EA1ADC" w:rsidP="00100D19">
            <w:pPr>
              <w:spacing w:after="0"/>
              <w:jc w:val="center"/>
              <w:rPr>
                <w:rFonts w:cs="Arial"/>
                <w:b/>
                <w:bCs/>
                <w:color w:val="auto"/>
                <w:sz w:val="22"/>
                <w:szCs w:val="22"/>
              </w:rPr>
            </w:pPr>
            <w:r>
              <w:rPr>
                <w:rFonts w:cs="Arial"/>
                <w:b/>
                <w:bCs/>
                <w:color w:val="auto"/>
                <w:sz w:val="22"/>
                <w:szCs w:val="22"/>
              </w:rPr>
              <w:t>31</w:t>
            </w:r>
            <w:r w:rsidR="00100D19" w:rsidRPr="00100D19">
              <w:rPr>
                <w:rFonts w:cs="Arial"/>
                <w:b/>
                <w:bCs/>
                <w:color w:val="auto"/>
                <w:sz w:val="22"/>
                <w:szCs w:val="22"/>
              </w:rPr>
              <w:t xml:space="preserve"> March 2016</w:t>
            </w:r>
          </w:p>
        </w:tc>
      </w:tr>
      <w:tr w:rsidR="00100D19" w:rsidRPr="00100D19" w:rsidTr="00100D19">
        <w:trPr>
          <w:trHeight w:val="300"/>
        </w:trPr>
        <w:tc>
          <w:tcPr>
            <w:tcW w:w="3220" w:type="dxa"/>
            <w:tcBorders>
              <w:top w:val="nil"/>
              <w:left w:val="single" w:sz="4" w:space="0" w:color="auto"/>
              <w:bottom w:val="nil"/>
              <w:right w:val="single" w:sz="4" w:space="0" w:color="auto"/>
            </w:tcBorders>
            <w:shd w:val="clear" w:color="000000" w:fill="D9D9D9"/>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Treasury Position</w:t>
            </w:r>
          </w:p>
        </w:tc>
        <w:tc>
          <w:tcPr>
            <w:tcW w:w="1228" w:type="dxa"/>
            <w:tcBorders>
              <w:top w:val="nil"/>
              <w:left w:val="nil"/>
              <w:bottom w:val="nil"/>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Principal</w:t>
            </w:r>
          </w:p>
        </w:tc>
        <w:tc>
          <w:tcPr>
            <w:tcW w:w="1178" w:type="dxa"/>
            <w:tcBorders>
              <w:top w:val="nil"/>
              <w:left w:val="nil"/>
              <w:bottom w:val="nil"/>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Average Rate</w:t>
            </w:r>
          </w:p>
        </w:tc>
        <w:tc>
          <w:tcPr>
            <w:tcW w:w="1146" w:type="dxa"/>
            <w:tcBorders>
              <w:top w:val="nil"/>
              <w:left w:val="nil"/>
              <w:bottom w:val="nil"/>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Principal</w:t>
            </w:r>
          </w:p>
        </w:tc>
        <w:tc>
          <w:tcPr>
            <w:tcW w:w="1263" w:type="dxa"/>
            <w:tcBorders>
              <w:top w:val="nil"/>
              <w:left w:val="nil"/>
              <w:bottom w:val="nil"/>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Average Rate</w:t>
            </w:r>
          </w:p>
        </w:tc>
      </w:tr>
      <w:tr w:rsidR="00100D19" w:rsidRPr="00100D19" w:rsidTr="00100D19">
        <w:trPr>
          <w:trHeight w:val="300"/>
        </w:trPr>
        <w:tc>
          <w:tcPr>
            <w:tcW w:w="3220" w:type="dxa"/>
            <w:tcBorders>
              <w:top w:val="nil"/>
              <w:left w:val="single" w:sz="4" w:space="0" w:color="auto"/>
              <w:bottom w:val="single" w:sz="4" w:space="0" w:color="auto"/>
              <w:right w:val="single" w:sz="4" w:space="0" w:color="auto"/>
            </w:tcBorders>
            <w:shd w:val="clear" w:color="000000" w:fill="D9D9D9"/>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 </w:t>
            </w:r>
          </w:p>
        </w:tc>
        <w:tc>
          <w:tcPr>
            <w:tcW w:w="1228" w:type="dxa"/>
            <w:tcBorders>
              <w:top w:val="nil"/>
              <w:left w:val="nil"/>
              <w:bottom w:val="single" w:sz="4" w:space="0" w:color="auto"/>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£'000</w:t>
            </w:r>
          </w:p>
        </w:tc>
        <w:tc>
          <w:tcPr>
            <w:tcW w:w="1178" w:type="dxa"/>
            <w:tcBorders>
              <w:top w:val="nil"/>
              <w:left w:val="nil"/>
              <w:bottom w:val="single" w:sz="4" w:space="0" w:color="auto"/>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w:t>
            </w:r>
          </w:p>
        </w:tc>
        <w:tc>
          <w:tcPr>
            <w:tcW w:w="1146" w:type="dxa"/>
            <w:tcBorders>
              <w:top w:val="nil"/>
              <w:left w:val="nil"/>
              <w:bottom w:val="single" w:sz="4" w:space="0" w:color="auto"/>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£'000</w:t>
            </w:r>
          </w:p>
        </w:tc>
        <w:tc>
          <w:tcPr>
            <w:tcW w:w="1263" w:type="dxa"/>
            <w:tcBorders>
              <w:top w:val="nil"/>
              <w:left w:val="nil"/>
              <w:bottom w:val="single" w:sz="4" w:space="0" w:color="auto"/>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w:t>
            </w:r>
          </w:p>
        </w:tc>
      </w:tr>
      <w:tr w:rsidR="00100D19" w:rsidRPr="00100D19" w:rsidTr="00100D19">
        <w:trPr>
          <w:trHeight w:val="300"/>
        </w:trPr>
        <w:tc>
          <w:tcPr>
            <w:tcW w:w="3220" w:type="dxa"/>
            <w:tcBorders>
              <w:top w:val="nil"/>
              <w:left w:val="single" w:sz="4" w:space="0" w:color="auto"/>
              <w:bottom w:val="nil"/>
              <w:right w:val="single" w:sz="4" w:space="0" w:color="auto"/>
            </w:tcBorders>
            <w:shd w:val="clear" w:color="auto" w:fill="auto"/>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Borrowing</w:t>
            </w:r>
          </w:p>
        </w:tc>
        <w:tc>
          <w:tcPr>
            <w:tcW w:w="1228" w:type="dxa"/>
            <w:tcBorders>
              <w:top w:val="nil"/>
              <w:left w:val="nil"/>
              <w:bottom w:val="nil"/>
              <w:right w:val="single" w:sz="4" w:space="0" w:color="auto"/>
            </w:tcBorders>
            <w:shd w:val="clear" w:color="auto" w:fill="auto"/>
            <w:noWrap/>
            <w:vAlign w:val="bottom"/>
            <w:hideMark/>
          </w:tcPr>
          <w:p w:rsidR="00100D19" w:rsidRPr="00100D19" w:rsidRDefault="00100D19" w:rsidP="00100D19">
            <w:pPr>
              <w:spacing w:after="0"/>
              <w:rPr>
                <w:rFonts w:cs="Arial"/>
                <w:color w:val="auto"/>
                <w:sz w:val="22"/>
                <w:szCs w:val="22"/>
              </w:rPr>
            </w:pPr>
            <w:r w:rsidRPr="00100D19">
              <w:rPr>
                <w:rFonts w:cs="Arial"/>
                <w:color w:val="auto"/>
                <w:sz w:val="22"/>
                <w:szCs w:val="22"/>
              </w:rPr>
              <w:t> </w:t>
            </w:r>
          </w:p>
        </w:tc>
        <w:tc>
          <w:tcPr>
            <w:tcW w:w="1178" w:type="dxa"/>
            <w:tcBorders>
              <w:top w:val="nil"/>
              <w:left w:val="nil"/>
              <w:bottom w:val="nil"/>
              <w:right w:val="single" w:sz="4" w:space="0" w:color="auto"/>
            </w:tcBorders>
            <w:shd w:val="clear" w:color="auto" w:fill="auto"/>
            <w:noWrap/>
            <w:vAlign w:val="bottom"/>
            <w:hideMark/>
          </w:tcPr>
          <w:p w:rsidR="00100D19" w:rsidRPr="00100D19" w:rsidRDefault="00100D19" w:rsidP="00100D19">
            <w:pPr>
              <w:spacing w:after="0"/>
              <w:rPr>
                <w:rFonts w:cs="Arial"/>
                <w:color w:val="auto"/>
                <w:sz w:val="22"/>
                <w:szCs w:val="22"/>
              </w:rPr>
            </w:pPr>
            <w:r w:rsidRPr="00100D19">
              <w:rPr>
                <w:rFonts w:cs="Arial"/>
                <w:color w:val="auto"/>
                <w:sz w:val="22"/>
                <w:szCs w:val="22"/>
              </w:rPr>
              <w:t> </w:t>
            </w:r>
          </w:p>
        </w:tc>
        <w:tc>
          <w:tcPr>
            <w:tcW w:w="1146" w:type="dxa"/>
            <w:tcBorders>
              <w:top w:val="nil"/>
              <w:left w:val="nil"/>
              <w:bottom w:val="nil"/>
              <w:right w:val="single" w:sz="4" w:space="0" w:color="auto"/>
            </w:tcBorders>
            <w:shd w:val="clear" w:color="auto" w:fill="auto"/>
            <w:noWrap/>
            <w:vAlign w:val="bottom"/>
            <w:hideMark/>
          </w:tcPr>
          <w:p w:rsidR="00100D19" w:rsidRPr="00100D19" w:rsidRDefault="00100D19" w:rsidP="00100D19">
            <w:pPr>
              <w:spacing w:after="0"/>
              <w:rPr>
                <w:rFonts w:cs="Arial"/>
                <w:color w:val="auto"/>
                <w:sz w:val="22"/>
                <w:szCs w:val="22"/>
              </w:rPr>
            </w:pPr>
            <w:r w:rsidRPr="00100D19">
              <w:rPr>
                <w:rFonts w:cs="Arial"/>
                <w:color w:val="auto"/>
                <w:sz w:val="22"/>
                <w:szCs w:val="22"/>
              </w:rPr>
              <w:t> </w:t>
            </w:r>
          </w:p>
        </w:tc>
        <w:tc>
          <w:tcPr>
            <w:tcW w:w="1263" w:type="dxa"/>
            <w:tcBorders>
              <w:top w:val="nil"/>
              <w:left w:val="nil"/>
              <w:bottom w:val="nil"/>
              <w:right w:val="single" w:sz="4" w:space="0" w:color="auto"/>
            </w:tcBorders>
            <w:shd w:val="clear" w:color="auto" w:fill="auto"/>
            <w:noWrap/>
            <w:vAlign w:val="bottom"/>
            <w:hideMark/>
          </w:tcPr>
          <w:p w:rsidR="00100D19" w:rsidRPr="00100D19" w:rsidRDefault="00100D19" w:rsidP="00100D19">
            <w:pPr>
              <w:spacing w:after="0"/>
              <w:rPr>
                <w:rFonts w:cs="Arial"/>
                <w:color w:val="auto"/>
                <w:sz w:val="22"/>
                <w:szCs w:val="22"/>
              </w:rPr>
            </w:pPr>
            <w:r w:rsidRPr="00100D19">
              <w:rPr>
                <w:rFonts w:cs="Arial"/>
                <w:color w:val="auto"/>
                <w:sz w:val="22"/>
                <w:szCs w:val="22"/>
              </w:rPr>
              <w:t> </w:t>
            </w:r>
          </w:p>
        </w:tc>
      </w:tr>
      <w:tr w:rsidR="00100D19" w:rsidRPr="00100D19" w:rsidTr="00100D19">
        <w:trPr>
          <w:trHeight w:val="285"/>
        </w:trPr>
        <w:tc>
          <w:tcPr>
            <w:tcW w:w="3220" w:type="dxa"/>
            <w:tcBorders>
              <w:top w:val="nil"/>
              <w:left w:val="single" w:sz="4" w:space="0" w:color="auto"/>
              <w:bottom w:val="nil"/>
              <w:right w:val="single" w:sz="4" w:space="0" w:color="auto"/>
            </w:tcBorders>
            <w:shd w:val="clear" w:color="auto" w:fill="auto"/>
            <w:noWrap/>
            <w:vAlign w:val="bottom"/>
            <w:hideMark/>
          </w:tcPr>
          <w:p w:rsidR="00100D19" w:rsidRPr="00100D19" w:rsidRDefault="00100D19" w:rsidP="00100D19">
            <w:pPr>
              <w:spacing w:after="0"/>
              <w:rPr>
                <w:rFonts w:cs="Arial"/>
                <w:color w:val="auto"/>
                <w:sz w:val="22"/>
                <w:szCs w:val="22"/>
              </w:rPr>
            </w:pPr>
            <w:r w:rsidRPr="00100D19">
              <w:rPr>
                <w:rFonts w:cs="Arial"/>
                <w:color w:val="auto"/>
                <w:sz w:val="22"/>
                <w:szCs w:val="22"/>
              </w:rPr>
              <w:t>Fixed Interest Rate Debt</w:t>
            </w:r>
          </w:p>
        </w:tc>
        <w:tc>
          <w:tcPr>
            <w:tcW w:w="1228"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r w:rsidRPr="00100D19">
              <w:rPr>
                <w:rFonts w:cs="Arial"/>
                <w:color w:val="auto"/>
                <w:sz w:val="22"/>
                <w:szCs w:val="22"/>
              </w:rPr>
              <w:t>199,423</w:t>
            </w:r>
          </w:p>
        </w:tc>
        <w:tc>
          <w:tcPr>
            <w:tcW w:w="1178"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r w:rsidRPr="00100D19">
              <w:rPr>
                <w:rFonts w:cs="Arial"/>
                <w:color w:val="auto"/>
                <w:sz w:val="22"/>
                <w:szCs w:val="22"/>
              </w:rPr>
              <w:t>3.39</w:t>
            </w:r>
          </w:p>
        </w:tc>
        <w:tc>
          <w:tcPr>
            <w:tcW w:w="1146"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r w:rsidRPr="00100D19">
              <w:rPr>
                <w:rFonts w:cs="Arial"/>
                <w:color w:val="auto"/>
                <w:sz w:val="22"/>
                <w:szCs w:val="22"/>
              </w:rPr>
              <w:t>198,528</w:t>
            </w:r>
          </w:p>
        </w:tc>
        <w:tc>
          <w:tcPr>
            <w:tcW w:w="1263"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r w:rsidRPr="00100D19">
              <w:rPr>
                <w:rFonts w:cs="Arial"/>
                <w:color w:val="auto"/>
                <w:sz w:val="22"/>
                <w:szCs w:val="22"/>
              </w:rPr>
              <w:t>3.15</w:t>
            </w:r>
          </w:p>
        </w:tc>
      </w:tr>
      <w:tr w:rsidR="00100D19" w:rsidRPr="00100D19" w:rsidTr="00100D19">
        <w:trPr>
          <w:trHeight w:val="285"/>
        </w:trPr>
        <w:tc>
          <w:tcPr>
            <w:tcW w:w="3220" w:type="dxa"/>
            <w:tcBorders>
              <w:top w:val="nil"/>
              <w:left w:val="single" w:sz="4" w:space="0" w:color="auto"/>
              <w:bottom w:val="nil"/>
              <w:right w:val="single" w:sz="4" w:space="0" w:color="auto"/>
            </w:tcBorders>
            <w:shd w:val="clear" w:color="auto" w:fill="auto"/>
            <w:noWrap/>
            <w:vAlign w:val="bottom"/>
            <w:hideMark/>
          </w:tcPr>
          <w:p w:rsidR="00100D19" w:rsidRPr="00100D19" w:rsidRDefault="00100D19" w:rsidP="00100D19">
            <w:pPr>
              <w:spacing w:after="0"/>
              <w:rPr>
                <w:rFonts w:cs="Arial"/>
                <w:color w:val="auto"/>
                <w:sz w:val="22"/>
                <w:szCs w:val="22"/>
              </w:rPr>
            </w:pPr>
          </w:p>
        </w:tc>
        <w:tc>
          <w:tcPr>
            <w:tcW w:w="1228"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p>
        </w:tc>
        <w:tc>
          <w:tcPr>
            <w:tcW w:w="1178"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p>
        </w:tc>
        <w:tc>
          <w:tcPr>
            <w:tcW w:w="1146"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p>
        </w:tc>
        <w:tc>
          <w:tcPr>
            <w:tcW w:w="1263"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p>
        </w:tc>
      </w:tr>
      <w:tr w:rsidR="00100D19" w:rsidRPr="00100D19" w:rsidTr="00100D19">
        <w:trPr>
          <w:trHeight w:val="285"/>
        </w:trPr>
        <w:tc>
          <w:tcPr>
            <w:tcW w:w="3220" w:type="dxa"/>
            <w:tcBorders>
              <w:top w:val="nil"/>
              <w:left w:val="single" w:sz="4" w:space="0" w:color="auto"/>
              <w:bottom w:val="nil"/>
              <w:right w:val="single" w:sz="4" w:space="0" w:color="auto"/>
            </w:tcBorders>
            <w:shd w:val="clear" w:color="auto" w:fill="auto"/>
            <w:noWrap/>
            <w:vAlign w:val="bottom"/>
            <w:hideMark/>
          </w:tcPr>
          <w:p w:rsidR="00100D19" w:rsidRPr="00100D19" w:rsidRDefault="00100D19" w:rsidP="00100D19">
            <w:pPr>
              <w:spacing w:after="0"/>
              <w:rPr>
                <w:rFonts w:cs="Arial"/>
                <w:color w:val="auto"/>
                <w:sz w:val="22"/>
                <w:szCs w:val="22"/>
              </w:rPr>
            </w:pPr>
          </w:p>
        </w:tc>
        <w:tc>
          <w:tcPr>
            <w:tcW w:w="1228"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p>
        </w:tc>
        <w:tc>
          <w:tcPr>
            <w:tcW w:w="1178"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p>
        </w:tc>
        <w:tc>
          <w:tcPr>
            <w:tcW w:w="1146"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p>
        </w:tc>
        <w:tc>
          <w:tcPr>
            <w:tcW w:w="1263"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p>
        </w:tc>
      </w:tr>
      <w:tr w:rsidR="00100D19" w:rsidRPr="00100D19" w:rsidTr="00100D19">
        <w:trPr>
          <w:trHeight w:val="300"/>
        </w:trPr>
        <w:tc>
          <w:tcPr>
            <w:tcW w:w="3220" w:type="dxa"/>
            <w:tcBorders>
              <w:top w:val="nil"/>
              <w:left w:val="single" w:sz="4" w:space="0" w:color="auto"/>
              <w:bottom w:val="nil"/>
              <w:right w:val="single" w:sz="4" w:space="0" w:color="auto"/>
            </w:tcBorders>
            <w:shd w:val="clear" w:color="auto" w:fill="auto"/>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Total Debt</w:t>
            </w:r>
          </w:p>
        </w:tc>
        <w:tc>
          <w:tcPr>
            <w:tcW w:w="1228"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199,423</w:t>
            </w:r>
          </w:p>
        </w:tc>
        <w:tc>
          <w:tcPr>
            <w:tcW w:w="1178"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3.39</w:t>
            </w:r>
          </w:p>
        </w:tc>
        <w:tc>
          <w:tcPr>
            <w:tcW w:w="1146"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198,528</w:t>
            </w:r>
          </w:p>
        </w:tc>
        <w:tc>
          <w:tcPr>
            <w:tcW w:w="1263"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3.15</w:t>
            </w:r>
          </w:p>
        </w:tc>
      </w:tr>
      <w:tr w:rsidR="00100D19" w:rsidRPr="00100D19" w:rsidTr="00100D19">
        <w:trPr>
          <w:trHeight w:val="285"/>
        </w:trPr>
        <w:tc>
          <w:tcPr>
            <w:tcW w:w="3220" w:type="dxa"/>
            <w:tcBorders>
              <w:top w:val="nil"/>
              <w:left w:val="single" w:sz="4" w:space="0" w:color="auto"/>
              <w:bottom w:val="nil"/>
              <w:right w:val="single" w:sz="4" w:space="0" w:color="auto"/>
            </w:tcBorders>
            <w:shd w:val="clear" w:color="auto" w:fill="auto"/>
            <w:noWrap/>
            <w:vAlign w:val="bottom"/>
            <w:hideMark/>
          </w:tcPr>
          <w:p w:rsidR="00100D19" w:rsidRPr="00100D19" w:rsidRDefault="00100D19" w:rsidP="00100D19">
            <w:pPr>
              <w:spacing w:after="0"/>
              <w:rPr>
                <w:rFonts w:cs="Arial"/>
                <w:color w:val="auto"/>
                <w:sz w:val="22"/>
                <w:szCs w:val="22"/>
              </w:rPr>
            </w:pPr>
            <w:r w:rsidRPr="00100D19">
              <w:rPr>
                <w:rFonts w:cs="Arial"/>
                <w:color w:val="auto"/>
                <w:sz w:val="22"/>
                <w:szCs w:val="22"/>
              </w:rPr>
              <w:t> </w:t>
            </w:r>
          </w:p>
        </w:tc>
        <w:tc>
          <w:tcPr>
            <w:tcW w:w="1228" w:type="dxa"/>
            <w:tcBorders>
              <w:top w:val="nil"/>
              <w:left w:val="nil"/>
              <w:bottom w:val="nil"/>
              <w:right w:val="single" w:sz="4" w:space="0" w:color="auto"/>
            </w:tcBorders>
            <w:shd w:val="clear" w:color="auto" w:fill="auto"/>
            <w:noWrap/>
            <w:vAlign w:val="bottom"/>
            <w:hideMark/>
          </w:tcPr>
          <w:p w:rsidR="00100D19" w:rsidRPr="00100D19" w:rsidRDefault="00100D19" w:rsidP="00100D19">
            <w:pPr>
              <w:spacing w:after="0"/>
              <w:rPr>
                <w:rFonts w:cs="Arial"/>
                <w:color w:val="auto"/>
                <w:sz w:val="22"/>
                <w:szCs w:val="22"/>
              </w:rPr>
            </w:pPr>
            <w:r w:rsidRPr="00100D19">
              <w:rPr>
                <w:rFonts w:cs="Arial"/>
                <w:color w:val="auto"/>
                <w:sz w:val="22"/>
                <w:szCs w:val="22"/>
              </w:rPr>
              <w:t> </w:t>
            </w:r>
          </w:p>
        </w:tc>
        <w:tc>
          <w:tcPr>
            <w:tcW w:w="1178" w:type="dxa"/>
            <w:tcBorders>
              <w:top w:val="nil"/>
              <w:left w:val="nil"/>
              <w:bottom w:val="nil"/>
              <w:right w:val="single" w:sz="4" w:space="0" w:color="auto"/>
            </w:tcBorders>
            <w:shd w:val="clear" w:color="auto" w:fill="auto"/>
            <w:noWrap/>
            <w:vAlign w:val="bottom"/>
            <w:hideMark/>
          </w:tcPr>
          <w:p w:rsidR="00100D19" w:rsidRPr="00100D19" w:rsidRDefault="00100D19" w:rsidP="00100D19">
            <w:pPr>
              <w:spacing w:after="0"/>
              <w:rPr>
                <w:rFonts w:cs="Arial"/>
                <w:color w:val="auto"/>
                <w:sz w:val="22"/>
                <w:szCs w:val="22"/>
              </w:rPr>
            </w:pPr>
            <w:r w:rsidRPr="00100D19">
              <w:rPr>
                <w:rFonts w:cs="Arial"/>
                <w:color w:val="auto"/>
                <w:sz w:val="22"/>
                <w:szCs w:val="22"/>
              </w:rPr>
              <w:t> </w:t>
            </w:r>
          </w:p>
        </w:tc>
        <w:tc>
          <w:tcPr>
            <w:tcW w:w="1146"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rPr>
                <w:rFonts w:cs="Arial"/>
                <w:color w:val="auto"/>
                <w:sz w:val="22"/>
                <w:szCs w:val="22"/>
              </w:rPr>
            </w:pPr>
          </w:p>
        </w:tc>
        <w:tc>
          <w:tcPr>
            <w:tcW w:w="1263"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rPr>
                <w:rFonts w:cs="Arial"/>
                <w:color w:val="auto"/>
                <w:sz w:val="22"/>
                <w:szCs w:val="22"/>
              </w:rPr>
            </w:pPr>
          </w:p>
        </w:tc>
      </w:tr>
      <w:tr w:rsidR="00100D19" w:rsidRPr="00100D19" w:rsidTr="00100D19">
        <w:trPr>
          <w:trHeight w:val="300"/>
        </w:trPr>
        <w:tc>
          <w:tcPr>
            <w:tcW w:w="3220" w:type="dxa"/>
            <w:tcBorders>
              <w:top w:val="nil"/>
              <w:left w:val="single" w:sz="4" w:space="0" w:color="auto"/>
              <w:bottom w:val="nil"/>
              <w:right w:val="single" w:sz="4" w:space="0" w:color="auto"/>
            </w:tcBorders>
            <w:shd w:val="clear" w:color="auto" w:fill="auto"/>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Investments</w:t>
            </w:r>
          </w:p>
        </w:tc>
        <w:tc>
          <w:tcPr>
            <w:tcW w:w="1228" w:type="dxa"/>
            <w:tcBorders>
              <w:top w:val="nil"/>
              <w:left w:val="nil"/>
              <w:bottom w:val="nil"/>
              <w:right w:val="single" w:sz="4" w:space="0" w:color="auto"/>
            </w:tcBorders>
            <w:shd w:val="clear" w:color="auto" w:fill="auto"/>
            <w:noWrap/>
            <w:vAlign w:val="bottom"/>
            <w:hideMark/>
          </w:tcPr>
          <w:p w:rsidR="00100D19" w:rsidRPr="00100D19" w:rsidRDefault="00100D19" w:rsidP="00100D19">
            <w:pPr>
              <w:spacing w:after="0"/>
              <w:rPr>
                <w:rFonts w:cs="Arial"/>
                <w:color w:val="auto"/>
                <w:sz w:val="22"/>
                <w:szCs w:val="22"/>
              </w:rPr>
            </w:pPr>
            <w:r w:rsidRPr="00100D19">
              <w:rPr>
                <w:rFonts w:cs="Arial"/>
                <w:color w:val="auto"/>
                <w:sz w:val="22"/>
                <w:szCs w:val="22"/>
              </w:rPr>
              <w:t> </w:t>
            </w:r>
          </w:p>
        </w:tc>
        <w:tc>
          <w:tcPr>
            <w:tcW w:w="1178" w:type="dxa"/>
            <w:tcBorders>
              <w:top w:val="nil"/>
              <w:left w:val="nil"/>
              <w:bottom w:val="nil"/>
              <w:right w:val="single" w:sz="4" w:space="0" w:color="auto"/>
            </w:tcBorders>
            <w:shd w:val="clear" w:color="auto" w:fill="auto"/>
            <w:noWrap/>
            <w:vAlign w:val="bottom"/>
            <w:hideMark/>
          </w:tcPr>
          <w:p w:rsidR="00100D19" w:rsidRPr="00100D19" w:rsidRDefault="00100D19" w:rsidP="00100D19">
            <w:pPr>
              <w:spacing w:after="0"/>
              <w:rPr>
                <w:rFonts w:cs="Arial"/>
                <w:color w:val="auto"/>
                <w:sz w:val="22"/>
                <w:szCs w:val="22"/>
              </w:rPr>
            </w:pPr>
            <w:r w:rsidRPr="00100D19">
              <w:rPr>
                <w:rFonts w:cs="Arial"/>
                <w:color w:val="auto"/>
                <w:sz w:val="22"/>
                <w:szCs w:val="22"/>
              </w:rPr>
              <w:t> </w:t>
            </w:r>
          </w:p>
        </w:tc>
        <w:tc>
          <w:tcPr>
            <w:tcW w:w="1146"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rPr>
                <w:rFonts w:cs="Arial"/>
                <w:color w:val="auto"/>
                <w:sz w:val="22"/>
                <w:szCs w:val="22"/>
              </w:rPr>
            </w:pPr>
          </w:p>
        </w:tc>
        <w:tc>
          <w:tcPr>
            <w:tcW w:w="1263"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rPr>
                <w:rFonts w:cs="Arial"/>
                <w:color w:val="auto"/>
                <w:sz w:val="22"/>
                <w:szCs w:val="22"/>
              </w:rPr>
            </w:pPr>
          </w:p>
        </w:tc>
      </w:tr>
      <w:tr w:rsidR="00100D19" w:rsidRPr="00100D19" w:rsidTr="00100D19">
        <w:trPr>
          <w:trHeight w:val="285"/>
        </w:trPr>
        <w:tc>
          <w:tcPr>
            <w:tcW w:w="3220" w:type="dxa"/>
            <w:tcBorders>
              <w:top w:val="nil"/>
              <w:left w:val="single" w:sz="4" w:space="0" w:color="auto"/>
              <w:bottom w:val="nil"/>
              <w:right w:val="single" w:sz="4" w:space="0" w:color="auto"/>
            </w:tcBorders>
            <w:shd w:val="clear" w:color="auto" w:fill="auto"/>
            <w:noWrap/>
            <w:vAlign w:val="bottom"/>
            <w:hideMark/>
          </w:tcPr>
          <w:p w:rsidR="00100D19" w:rsidRPr="00100D19" w:rsidRDefault="00100D19" w:rsidP="00100D19">
            <w:pPr>
              <w:spacing w:after="0"/>
              <w:rPr>
                <w:rFonts w:cs="Arial"/>
                <w:color w:val="auto"/>
                <w:sz w:val="22"/>
                <w:szCs w:val="22"/>
              </w:rPr>
            </w:pPr>
            <w:r w:rsidRPr="00100D19">
              <w:rPr>
                <w:rFonts w:cs="Arial"/>
                <w:color w:val="auto"/>
                <w:sz w:val="22"/>
                <w:szCs w:val="22"/>
              </w:rPr>
              <w:t>Fixed Interest Investments</w:t>
            </w:r>
          </w:p>
        </w:tc>
        <w:tc>
          <w:tcPr>
            <w:tcW w:w="1228"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r w:rsidRPr="00100D19">
              <w:rPr>
                <w:rFonts w:cs="Arial"/>
                <w:color w:val="auto"/>
                <w:sz w:val="22"/>
                <w:szCs w:val="22"/>
              </w:rPr>
              <w:t>35,200</w:t>
            </w:r>
          </w:p>
        </w:tc>
        <w:tc>
          <w:tcPr>
            <w:tcW w:w="1178"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r w:rsidRPr="00100D19">
              <w:rPr>
                <w:rFonts w:cs="Arial"/>
                <w:color w:val="auto"/>
                <w:sz w:val="22"/>
                <w:szCs w:val="22"/>
              </w:rPr>
              <w:t>0.53</w:t>
            </w:r>
          </w:p>
        </w:tc>
        <w:tc>
          <w:tcPr>
            <w:tcW w:w="1146"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r w:rsidRPr="00100D19">
              <w:rPr>
                <w:rFonts w:cs="Arial"/>
                <w:color w:val="auto"/>
                <w:sz w:val="22"/>
                <w:szCs w:val="22"/>
              </w:rPr>
              <w:t>46,500</w:t>
            </w:r>
          </w:p>
        </w:tc>
        <w:tc>
          <w:tcPr>
            <w:tcW w:w="1263" w:type="dxa"/>
            <w:tcBorders>
              <w:top w:val="nil"/>
              <w:left w:val="nil"/>
              <w:bottom w:val="nil"/>
              <w:right w:val="single" w:sz="4" w:space="0" w:color="auto"/>
            </w:tcBorders>
            <w:shd w:val="clear" w:color="auto" w:fill="auto"/>
            <w:noWrap/>
            <w:vAlign w:val="bottom"/>
          </w:tcPr>
          <w:p w:rsidR="00100D19" w:rsidRPr="00100D19" w:rsidRDefault="00643CC2" w:rsidP="00100D19">
            <w:pPr>
              <w:spacing w:after="0"/>
              <w:jc w:val="right"/>
              <w:rPr>
                <w:rFonts w:cs="Arial"/>
                <w:color w:val="auto"/>
                <w:sz w:val="22"/>
                <w:szCs w:val="22"/>
              </w:rPr>
            </w:pPr>
            <w:r>
              <w:rPr>
                <w:rFonts w:cs="Arial"/>
                <w:color w:val="auto"/>
                <w:sz w:val="22"/>
                <w:szCs w:val="22"/>
              </w:rPr>
              <w:t>0</w:t>
            </w:r>
            <w:r w:rsidR="00100D19" w:rsidRPr="00100D19">
              <w:rPr>
                <w:rFonts w:cs="Arial"/>
                <w:color w:val="auto"/>
                <w:sz w:val="22"/>
                <w:szCs w:val="22"/>
              </w:rPr>
              <w:t>.64</w:t>
            </w:r>
          </w:p>
        </w:tc>
      </w:tr>
      <w:tr w:rsidR="00100D19" w:rsidRPr="00100D19" w:rsidTr="00100D19">
        <w:trPr>
          <w:trHeight w:val="285"/>
        </w:trPr>
        <w:tc>
          <w:tcPr>
            <w:tcW w:w="3220" w:type="dxa"/>
            <w:tcBorders>
              <w:top w:val="nil"/>
              <w:left w:val="single" w:sz="4" w:space="0" w:color="auto"/>
              <w:bottom w:val="nil"/>
              <w:right w:val="single" w:sz="4" w:space="0" w:color="auto"/>
            </w:tcBorders>
            <w:shd w:val="clear" w:color="auto" w:fill="auto"/>
            <w:noWrap/>
            <w:vAlign w:val="bottom"/>
            <w:hideMark/>
          </w:tcPr>
          <w:p w:rsidR="00100D19" w:rsidRPr="00100D19" w:rsidRDefault="00100D19" w:rsidP="00100D19">
            <w:pPr>
              <w:spacing w:after="0"/>
              <w:rPr>
                <w:rFonts w:cs="Arial"/>
                <w:color w:val="auto"/>
                <w:sz w:val="22"/>
                <w:szCs w:val="22"/>
              </w:rPr>
            </w:pPr>
            <w:r w:rsidRPr="00100D19">
              <w:rPr>
                <w:rFonts w:cs="Arial"/>
                <w:color w:val="auto"/>
                <w:sz w:val="22"/>
                <w:szCs w:val="22"/>
              </w:rPr>
              <w:t>Variable Interest Investments</w:t>
            </w:r>
          </w:p>
        </w:tc>
        <w:tc>
          <w:tcPr>
            <w:tcW w:w="1228"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r w:rsidRPr="00100D19">
              <w:rPr>
                <w:rFonts w:cs="Arial"/>
                <w:color w:val="auto"/>
                <w:sz w:val="22"/>
                <w:szCs w:val="22"/>
              </w:rPr>
              <w:t>5,890</w:t>
            </w:r>
          </w:p>
        </w:tc>
        <w:tc>
          <w:tcPr>
            <w:tcW w:w="1178"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r w:rsidRPr="00100D19">
              <w:rPr>
                <w:rFonts w:cs="Arial"/>
                <w:color w:val="auto"/>
                <w:sz w:val="22"/>
                <w:szCs w:val="22"/>
              </w:rPr>
              <w:t>0.42</w:t>
            </w:r>
          </w:p>
        </w:tc>
        <w:tc>
          <w:tcPr>
            <w:tcW w:w="1146"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r w:rsidRPr="00100D19">
              <w:rPr>
                <w:rFonts w:cs="Arial"/>
                <w:color w:val="auto"/>
                <w:sz w:val="22"/>
                <w:szCs w:val="22"/>
              </w:rPr>
              <w:t>7,760</w:t>
            </w:r>
          </w:p>
        </w:tc>
        <w:tc>
          <w:tcPr>
            <w:tcW w:w="1263" w:type="dxa"/>
            <w:tcBorders>
              <w:top w:val="nil"/>
              <w:left w:val="nil"/>
              <w:bottom w:val="nil"/>
              <w:right w:val="single" w:sz="4" w:space="0" w:color="auto"/>
            </w:tcBorders>
            <w:shd w:val="clear" w:color="auto" w:fill="auto"/>
            <w:noWrap/>
            <w:vAlign w:val="bottom"/>
          </w:tcPr>
          <w:p w:rsidR="00100D19" w:rsidRPr="00100D19" w:rsidRDefault="00643CC2" w:rsidP="00100D19">
            <w:pPr>
              <w:spacing w:after="0"/>
              <w:jc w:val="right"/>
              <w:rPr>
                <w:rFonts w:cs="Arial"/>
                <w:color w:val="auto"/>
                <w:sz w:val="22"/>
                <w:szCs w:val="22"/>
              </w:rPr>
            </w:pPr>
            <w:r>
              <w:rPr>
                <w:rFonts w:cs="Arial"/>
                <w:color w:val="auto"/>
                <w:sz w:val="22"/>
                <w:szCs w:val="22"/>
              </w:rPr>
              <w:t>0</w:t>
            </w:r>
            <w:r w:rsidR="00100D19" w:rsidRPr="00100D19">
              <w:rPr>
                <w:rFonts w:cs="Arial"/>
                <w:color w:val="auto"/>
                <w:sz w:val="22"/>
                <w:szCs w:val="22"/>
              </w:rPr>
              <w:t>.44</w:t>
            </w:r>
          </w:p>
        </w:tc>
      </w:tr>
      <w:tr w:rsidR="00100D19" w:rsidRPr="00100D19" w:rsidTr="00100D19">
        <w:trPr>
          <w:trHeight w:val="300"/>
        </w:trPr>
        <w:tc>
          <w:tcPr>
            <w:tcW w:w="3220" w:type="dxa"/>
            <w:tcBorders>
              <w:top w:val="nil"/>
              <w:left w:val="single" w:sz="4" w:space="0" w:color="auto"/>
              <w:bottom w:val="nil"/>
              <w:right w:val="single" w:sz="4" w:space="0" w:color="auto"/>
            </w:tcBorders>
            <w:shd w:val="clear" w:color="auto" w:fill="auto"/>
            <w:noWrap/>
            <w:vAlign w:val="bottom"/>
          </w:tcPr>
          <w:p w:rsidR="00100D19" w:rsidRPr="00100D19" w:rsidRDefault="00100D19" w:rsidP="00100D19">
            <w:pPr>
              <w:spacing w:after="0"/>
              <w:rPr>
                <w:rFonts w:cs="Arial"/>
                <w:bCs/>
                <w:color w:val="auto"/>
                <w:sz w:val="22"/>
                <w:szCs w:val="22"/>
              </w:rPr>
            </w:pPr>
            <w:r w:rsidRPr="00100D19">
              <w:rPr>
                <w:rFonts w:cs="Arial"/>
                <w:bCs/>
                <w:color w:val="auto"/>
                <w:sz w:val="22"/>
                <w:szCs w:val="22"/>
              </w:rPr>
              <w:t>Property Funds</w:t>
            </w:r>
          </w:p>
        </w:tc>
        <w:tc>
          <w:tcPr>
            <w:tcW w:w="1228"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Cs/>
                <w:color w:val="auto"/>
                <w:sz w:val="22"/>
                <w:szCs w:val="22"/>
              </w:rPr>
            </w:pPr>
            <w:r w:rsidRPr="00100D19">
              <w:rPr>
                <w:rFonts w:cs="Arial"/>
                <w:bCs/>
                <w:color w:val="auto"/>
                <w:sz w:val="22"/>
                <w:szCs w:val="22"/>
              </w:rPr>
              <w:t>9,800</w:t>
            </w:r>
          </w:p>
        </w:tc>
        <w:tc>
          <w:tcPr>
            <w:tcW w:w="1178" w:type="dxa"/>
            <w:tcBorders>
              <w:top w:val="nil"/>
              <w:left w:val="nil"/>
              <w:bottom w:val="nil"/>
              <w:right w:val="single" w:sz="4" w:space="0" w:color="auto"/>
            </w:tcBorders>
            <w:shd w:val="clear" w:color="auto" w:fill="auto"/>
            <w:noWrap/>
            <w:vAlign w:val="bottom"/>
          </w:tcPr>
          <w:p w:rsidR="00100D19" w:rsidRPr="00100D19" w:rsidRDefault="00643CC2" w:rsidP="00643CC2">
            <w:pPr>
              <w:spacing w:after="0"/>
              <w:jc w:val="right"/>
              <w:rPr>
                <w:rFonts w:cs="Arial"/>
                <w:bCs/>
                <w:color w:val="auto"/>
                <w:sz w:val="22"/>
                <w:szCs w:val="22"/>
              </w:rPr>
            </w:pPr>
            <w:r>
              <w:rPr>
                <w:rFonts w:cs="Arial"/>
                <w:bCs/>
                <w:color w:val="auto"/>
                <w:sz w:val="22"/>
                <w:szCs w:val="22"/>
              </w:rPr>
              <w:t>4.03</w:t>
            </w:r>
          </w:p>
        </w:tc>
        <w:tc>
          <w:tcPr>
            <w:tcW w:w="1146"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Cs/>
                <w:color w:val="auto"/>
                <w:sz w:val="22"/>
                <w:szCs w:val="22"/>
              </w:rPr>
            </w:pPr>
            <w:r w:rsidRPr="00100D19">
              <w:rPr>
                <w:rFonts w:cs="Arial"/>
                <w:bCs/>
                <w:color w:val="auto"/>
                <w:sz w:val="22"/>
                <w:szCs w:val="22"/>
              </w:rPr>
              <w:t>10,000</w:t>
            </w:r>
          </w:p>
        </w:tc>
        <w:tc>
          <w:tcPr>
            <w:tcW w:w="1263"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Cs/>
                <w:color w:val="auto"/>
                <w:sz w:val="22"/>
                <w:szCs w:val="22"/>
              </w:rPr>
            </w:pPr>
            <w:r w:rsidRPr="00100D19">
              <w:rPr>
                <w:rFonts w:cs="Arial"/>
                <w:bCs/>
                <w:color w:val="auto"/>
                <w:sz w:val="22"/>
                <w:szCs w:val="22"/>
              </w:rPr>
              <w:t>4.05</w:t>
            </w:r>
          </w:p>
        </w:tc>
      </w:tr>
      <w:tr w:rsidR="00100D19" w:rsidRPr="00100D19" w:rsidTr="00100D19">
        <w:trPr>
          <w:trHeight w:val="300"/>
        </w:trPr>
        <w:tc>
          <w:tcPr>
            <w:tcW w:w="3220" w:type="dxa"/>
            <w:tcBorders>
              <w:top w:val="nil"/>
              <w:left w:val="single" w:sz="4" w:space="0" w:color="auto"/>
              <w:bottom w:val="nil"/>
              <w:right w:val="single" w:sz="4" w:space="0" w:color="auto"/>
            </w:tcBorders>
            <w:shd w:val="clear" w:color="auto" w:fill="auto"/>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Total Investments</w:t>
            </w:r>
          </w:p>
        </w:tc>
        <w:tc>
          <w:tcPr>
            <w:tcW w:w="1228"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50,890</w:t>
            </w:r>
          </w:p>
        </w:tc>
        <w:tc>
          <w:tcPr>
            <w:tcW w:w="1178"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1.18</w:t>
            </w:r>
          </w:p>
        </w:tc>
        <w:tc>
          <w:tcPr>
            <w:tcW w:w="1146"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64,260</w:t>
            </w:r>
          </w:p>
        </w:tc>
        <w:tc>
          <w:tcPr>
            <w:tcW w:w="1263"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1.17</w:t>
            </w:r>
          </w:p>
        </w:tc>
      </w:tr>
      <w:tr w:rsidR="00100D19" w:rsidRPr="00100D19" w:rsidTr="00100D19">
        <w:trPr>
          <w:trHeight w:val="285"/>
        </w:trPr>
        <w:tc>
          <w:tcPr>
            <w:tcW w:w="3220" w:type="dxa"/>
            <w:tcBorders>
              <w:top w:val="nil"/>
              <w:left w:val="single" w:sz="4" w:space="0" w:color="auto"/>
              <w:bottom w:val="nil"/>
              <w:right w:val="single" w:sz="4" w:space="0" w:color="auto"/>
            </w:tcBorders>
            <w:shd w:val="clear" w:color="auto" w:fill="auto"/>
            <w:noWrap/>
            <w:vAlign w:val="bottom"/>
            <w:hideMark/>
          </w:tcPr>
          <w:p w:rsidR="00100D19" w:rsidRPr="00100D19" w:rsidRDefault="00100D19" w:rsidP="00100D19">
            <w:pPr>
              <w:spacing w:after="0"/>
              <w:rPr>
                <w:rFonts w:cs="Arial"/>
                <w:color w:val="auto"/>
                <w:sz w:val="22"/>
                <w:szCs w:val="22"/>
              </w:rPr>
            </w:pPr>
            <w:r w:rsidRPr="00100D19">
              <w:rPr>
                <w:rFonts w:cs="Arial"/>
                <w:color w:val="auto"/>
                <w:sz w:val="22"/>
                <w:szCs w:val="22"/>
              </w:rPr>
              <w:t> </w:t>
            </w:r>
          </w:p>
        </w:tc>
        <w:tc>
          <w:tcPr>
            <w:tcW w:w="1228"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rPr>
                <w:rFonts w:cs="Arial"/>
                <w:color w:val="auto"/>
                <w:sz w:val="22"/>
                <w:szCs w:val="22"/>
              </w:rPr>
            </w:pPr>
          </w:p>
        </w:tc>
        <w:tc>
          <w:tcPr>
            <w:tcW w:w="1178"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rPr>
                <w:rFonts w:cs="Arial"/>
                <w:color w:val="auto"/>
                <w:sz w:val="22"/>
                <w:szCs w:val="22"/>
              </w:rPr>
            </w:pPr>
          </w:p>
        </w:tc>
        <w:tc>
          <w:tcPr>
            <w:tcW w:w="1146"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rPr>
                <w:rFonts w:cs="Arial"/>
                <w:color w:val="auto"/>
                <w:sz w:val="22"/>
                <w:szCs w:val="22"/>
              </w:rPr>
            </w:pPr>
          </w:p>
        </w:tc>
        <w:tc>
          <w:tcPr>
            <w:tcW w:w="1263"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rPr>
                <w:rFonts w:cs="Arial"/>
                <w:color w:val="auto"/>
                <w:sz w:val="22"/>
                <w:szCs w:val="22"/>
              </w:rPr>
            </w:pPr>
          </w:p>
        </w:tc>
      </w:tr>
      <w:tr w:rsidR="00100D19" w:rsidRPr="00100D19" w:rsidTr="00100D19">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Net Position</w:t>
            </w:r>
          </w:p>
        </w:tc>
        <w:tc>
          <w:tcPr>
            <w:tcW w:w="1228" w:type="dxa"/>
            <w:tcBorders>
              <w:top w:val="nil"/>
              <w:left w:val="nil"/>
              <w:bottom w:val="single" w:sz="4" w:space="0" w:color="auto"/>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148,533</w:t>
            </w:r>
          </w:p>
        </w:tc>
        <w:tc>
          <w:tcPr>
            <w:tcW w:w="1178" w:type="dxa"/>
            <w:tcBorders>
              <w:top w:val="nil"/>
              <w:left w:val="nil"/>
              <w:bottom w:val="single" w:sz="4" w:space="0" w:color="auto"/>
              <w:right w:val="single" w:sz="4" w:space="0" w:color="auto"/>
            </w:tcBorders>
            <w:shd w:val="clear" w:color="auto" w:fill="auto"/>
            <w:noWrap/>
            <w:vAlign w:val="bottom"/>
          </w:tcPr>
          <w:p w:rsidR="00100D19" w:rsidRPr="00100D19" w:rsidRDefault="00100D19" w:rsidP="00100D19">
            <w:pPr>
              <w:spacing w:after="0"/>
              <w:rPr>
                <w:rFonts w:cs="Arial"/>
                <w:b/>
                <w:bCs/>
                <w:color w:val="auto"/>
                <w:sz w:val="22"/>
                <w:szCs w:val="22"/>
              </w:rPr>
            </w:pPr>
          </w:p>
        </w:tc>
        <w:tc>
          <w:tcPr>
            <w:tcW w:w="1146" w:type="dxa"/>
            <w:tcBorders>
              <w:top w:val="nil"/>
              <w:left w:val="nil"/>
              <w:bottom w:val="single" w:sz="4" w:space="0" w:color="auto"/>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134,268</w:t>
            </w:r>
          </w:p>
        </w:tc>
        <w:tc>
          <w:tcPr>
            <w:tcW w:w="1263" w:type="dxa"/>
            <w:tcBorders>
              <w:top w:val="nil"/>
              <w:left w:val="nil"/>
              <w:bottom w:val="single" w:sz="4" w:space="0" w:color="auto"/>
              <w:right w:val="single" w:sz="4" w:space="0" w:color="auto"/>
            </w:tcBorders>
            <w:shd w:val="clear" w:color="auto" w:fill="auto"/>
            <w:noWrap/>
            <w:vAlign w:val="bottom"/>
          </w:tcPr>
          <w:p w:rsidR="00100D19" w:rsidRPr="00100D19" w:rsidRDefault="00100D19" w:rsidP="00100D19">
            <w:pPr>
              <w:spacing w:after="0"/>
              <w:rPr>
                <w:rFonts w:cs="Arial"/>
                <w:b/>
                <w:bCs/>
                <w:color w:val="auto"/>
                <w:sz w:val="22"/>
                <w:szCs w:val="22"/>
              </w:rPr>
            </w:pPr>
          </w:p>
        </w:tc>
      </w:tr>
    </w:tbl>
    <w:p w:rsidR="00301501" w:rsidRDefault="00301501" w:rsidP="00100D19">
      <w:pPr>
        <w:pStyle w:val="bParagraphtext"/>
        <w:numPr>
          <w:ilvl w:val="0"/>
          <w:numId w:val="0"/>
        </w:numPr>
        <w:spacing w:after="0"/>
        <w:ind w:left="425"/>
      </w:pPr>
    </w:p>
    <w:p w:rsidR="00100D19" w:rsidRDefault="00301501" w:rsidP="00100D19">
      <w:pPr>
        <w:pStyle w:val="bParagraphtext"/>
        <w:numPr>
          <w:ilvl w:val="0"/>
          <w:numId w:val="0"/>
        </w:numPr>
        <w:spacing w:after="0"/>
        <w:ind w:left="425"/>
      </w:pPr>
      <w:r>
        <w:t xml:space="preserve">The average investment rate shown above is 1.17% for 2015/16 which is above the Council’s target of 0.5% above base rate (1% in total).  Despite this, the Council did not achieve the level of investment income that had been budgeted by £0.080 million.  This is because the budget had incorporated anticipated rises in base rates which </w:t>
      </w:r>
      <w:proofErr w:type="gramStart"/>
      <w:r>
        <w:t>was</w:t>
      </w:r>
      <w:proofErr w:type="gramEnd"/>
      <w:r>
        <w:t xml:space="preserve"> the market intelligence at the time the budgets were set.  The lack of a base rate rise had led to the situation of the budgeted income not being achieved even though performance against the target of 0.5% above base rate was achieved.</w:t>
      </w:r>
    </w:p>
    <w:p w:rsidR="00100D19" w:rsidRPr="001356F1" w:rsidRDefault="00100D19" w:rsidP="00100D19">
      <w:pPr>
        <w:spacing w:before="240"/>
        <w:outlineLvl w:val="0"/>
        <w:rPr>
          <w:b/>
        </w:rPr>
      </w:pPr>
      <w:r w:rsidRPr="00100D19">
        <w:rPr>
          <w:b/>
        </w:rPr>
        <w:t>Prudential Indicators and Compliance Issues</w:t>
      </w:r>
    </w:p>
    <w:p w:rsidR="00100D19" w:rsidRDefault="00100D19" w:rsidP="00100D19">
      <w:pPr>
        <w:pStyle w:val="bParagraphtext"/>
      </w:pPr>
      <w:r w:rsidRPr="00100D19">
        <w:t>Some of the prudential indicators provide an overview, others a specific limit on treasury activity.  These are detailed below:</w:t>
      </w:r>
    </w:p>
    <w:p w:rsidR="00BE24E6" w:rsidRPr="00EA1ADC" w:rsidRDefault="00100D19" w:rsidP="00EA1ADC">
      <w:pPr>
        <w:pStyle w:val="bParagraphtext"/>
      </w:pPr>
      <w:r w:rsidRPr="00100D19">
        <w:rPr>
          <w:b/>
          <w:i/>
        </w:rPr>
        <w:t>Net Borrowing and the CFR</w:t>
      </w:r>
      <w:r w:rsidRPr="00100D19">
        <w:t xml:space="preserve"> – In order to ensure that borrowing levels are prudent, the Council’s external borrowing (net of investments) over the medium-term must only be for a capital purpose, and not exceed the CFR except in the </w:t>
      </w:r>
      <w:r w:rsidRPr="00100D19">
        <w:lastRenderedPageBreak/>
        <w:t>short-term.  In the short term the Council can borrow for cash</w:t>
      </w:r>
      <w:r w:rsidR="00B80611">
        <w:t xml:space="preserve"> </w:t>
      </w:r>
      <w:r w:rsidRPr="00100D19">
        <w:t>flow purposes, although this has not been necessary in recent years.  Table 4 below highlights the Council’s net borrowing position against the CFR, and shows that it is significantly below the limit, due to the level of internal borrowing that has been undertaken.</w:t>
      </w:r>
    </w:p>
    <w:p w:rsidR="00BE24E6" w:rsidRDefault="00BE24E6" w:rsidP="00100D19">
      <w:pPr>
        <w:spacing w:after="0"/>
        <w:ind w:left="360"/>
        <w:rPr>
          <w:b/>
          <w:color w:val="auto"/>
          <w:lang w:eastAsia="en-US"/>
        </w:rPr>
      </w:pPr>
    </w:p>
    <w:p w:rsidR="00100D19" w:rsidRPr="00100D19" w:rsidRDefault="00100D19" w:rsidP="00100D19">
      <w:pPr>
        <w:spacing w:after="0"/>
        <w:ind w:left="360"/>
        <w:rPr>
          <w:b/>
          <w:color w:val="auto"/>
          <w:lang w:eastAsia="en-US"/>
        </w:rPr>
      </w:pPr>
      <w:r w:rsidRPr="00100D19">
        <w:rPr>
          <w:b/>
          <w:color w:val="auto"/>
          <w:lang w:eastAsia="en-US"/>
        </w:rPr>
        <w:t>Table 4</w:t>
      </w:r>
    </w:p>
    <w:tbl>
      <w:tblPr>
        <w:tblW w:w="6300" w:type="dxa"/>
        <w:tblInd w:w="720" w:type="dxa"/>
        <w:tblLook w:val="04A0" w:firstRow="1" w:lastRow="0" w:firstColumn="1" w:lastColumn="0" w:noHBand="0" w:noVBand="1"/>
      </w:tblPr>
      <w:tblGrid>
        <w:gridCol w:w="3228"/>
        <w:gridCol w:w="1536"/>
        <w:gridCol w:w="1536"/>
      </w:tblGrid>
      <w:tr w:rsidR="00100D19" w:rsidRPr="00100D19" w:rsidTr="00100D19">
        <w:trPr>
          <w:trHeight w:val="600"/>
        </w:trPr>
        <w:tc>
          <w:tcPr>
            <w:tcW w:w="3228" w:type="dxa"/>
            <w:tcBorders>
              <w:top w:val="single" w:sz="4" w:space="0" w:color="auto"/>
              <w:left w:val="single" w:sz="4" w:space="0" w:color="auto"/>
              <w:bottom w:val="nil"/>
              <w:right w:val="nil"/>
            </w:tcBorders>
            <w:shd w:val="clear" w:color="000000" w:fill="D9D9D9"/>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Net Borrowing &amp; CFR</w:t>
            </w:r>
          </w:p>
        </w:tc>
        <w:tc>
          <w:tcPr>
            <w:tcW w:w="1536" w:type="dxa"/>
            <w:tcBorders>
              <w:top w:val="single" w:sz="4" w:space="0" w:color="auto"/>
              <w:left w:val="nil"/>
              <w:bottom w:val="nil"/>
              <w:right w:val="nil"/>
            </w:tcBorders>
            <w:shd w:val="clear" w:color="000000" w:fill="D9D9D9"/>
            <w:vAlign w:val="bottom"/>
            <w:hideMark/>
          </w:tcPr>
          <w:p w:rsidR="00100D19" w:rsidRPr="00100D19" w:rsidRDefault="00EA1ADC" w:rsidP="00100D19">
            <w:pPr>
              <w:spacing w:after="0"/>
              <w:jc w:val="center"/>
              <w:rPr>
                <w:rFonts w:cs="Arial"/>
                <w:b/>
                <w:bCs/>
                <w:color w:val="auto"/>
                <w:sz w:val="22"/>
                <w:szCs w:val="22"/>
              </w:rPr>
            </w:pPr>
            <w:r>
              <w:rPr>
                <w:rFonts w:cs="Arial"/>
                <w:b/>
                <w:bCs/>
                <w:color w:val="auto"/>
                <w:sz w:val="22"/>
                <w:szCs w:val="22"/>
              </w:rPr>
              <w:t>31</w:t>
            </w:r>
            <w:r w:rsidR="00100D19" w:rsidRPr="00100D19">
              <w:rPr>
                <w:rFonts w:cs="Arial"/>
                <w:b/>
                <w:bCs/>
                <w:color w:val="auto"/>
                <w:sz w:val="22"/>
                <w:szCs w:val="22"/>
              </w:rPr>
              <w:t xml:space="preserve"> March 2015</w:t>
            </w:r>
          </w:p>
        </w:tc>
        <w:tc>
          <w:tcPr>
            <w:tcW w:w="1536" w:type="dxa"/>
            <w:tcBorders>
              <w:top w:val="single" w:sz="4" w:space="0" w:color="auto"/>
              <w:left w:val="nil"/>
              <w:bottom w:val="nil"/>
              <w:right w:val="single" w:sz="4" w:space="0" w:color="auto"/>
            </w:tcBorders>
            <w:shd w:val="clear" w:color="000000" w:fill="D9D9D9"/>
            <w:vAlign w:val="bottom"/>
            <w:hideMark/>
          </w:tcPr>
          <w:p w:rsidR="00100D19" w:rsidRPr="00100D19" w:rsidRDefault="00EA1ADC" w:rsidP="00100D19">
            <w:pPr>
              <w:spacing w:after="0"/>
              <w:jc w:val="center"/>
              <w:rPr>
                <w:rFonts w:cs="Arial"/>
                <w:b/>
                <w:bCs/>
                <w:color w:val="auto"/>
                <w:sz w:val="22"/>
                <w:szCs w:val="22"/>
              </w:rPr>
            </w:pPr>
            <w:r>
              <w:rPr>
                <w:rFonts w:cs="Arial"/>
                <w:b/>
                <w:bCs/>
                <w:color w:val="auto"/>
                <w:sz w:val="22"/>
                <w:szCs w:val="22"/>
              </w:rPr>
              <w:t>31</w:t>
            </w:r>
            <w:r w:rsidR="00100D19" w:rsidRPr="00100D19">
              <w:rPr>
                <w:rFonts w:cs="Arial"/>
                <w:b/>
                <w:bCs/>
                <w:color w:val="auto"/>
                <w:sz w:val="22"/>
                <w:szCs w:val="22"/>
              </w:rPr>
              <w:t xml:space="preserve"> March 2016</w:t>
            </w:r>
          </w:p>
        </w:tc>
      </w:tr>
      <w:tr w:rsidR="00100D19" w:rsidRPr="00100D19" w:rsidTr="00100D19">
        <w:trPr>
          <w:trHeight w:val="300"/>
        </w:trPr>
        <w:tc>
          <w:tcPr>
            <w:tcW w:w="3228" w:type="dxa"/>
            <w:tcBorders>
              <w:top w:val="nil"/>
              <w:left w:val="single" w:sz="4" w:space="0" w:color="auto"/>
              <w:bottom w:val="nil"/>
              <w:right w:val="nil"/>
            </w:tcBorders>
            <w:shd w:val="clear" w:color="000000" w:fill="D9D9D9"/>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 </w:t>
            </w:r>
          </w:p>
        </w:tc>
        <w:tc>
          <w:tcPr>
            <w:tcW w:w="1536" w:type="dxa"/>
            <w:tcBorders>
              <w:top w:val="nil"/>
              <w:left w:val="nil"/>
              <w:bottom w:val="nil"/>
              <w:right w:val="nil"/>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Actual</w:t>
            </w:r>
          </w:p>
        </w:tc>
        <w:tc>
          <w:tcPr>
            <w:tcW w:w="1536" w:type="dxa"/>
            <w:tcBorders>
              <w:top w:val="nil"/>
              <w:left w:val="nil"/>
              <w:bottom w:val="nil"/>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Actual</w:t>
            </w:r>
          </w:p>
        </w:tc>
      </w:tr>
      <w:tr w:rsidR="00100D19" w:rsidRPr="00100D19" w:rsidTr="00100D19">
        <w:trPr>
          <w:trHeight w:val="300"/>
        </w:trPr>
        <w:tc>
          <w:tcPr>
            <w:tcW w:w="3228" w:type="dxa"/>
            <w:tcBorders>
              <w:top w:val="nil"/>
              <w:left w:val="single" w:sz="4" w:space="0" w:color="auto"/>
              <w:bottom w:val="single" w:sz="4" w:space="0" w:color="auto"/>
              <w:right w:val="nil"/>
            </w:tcBorders>
            <w:shd w:val="clear" w:color="000000" w:fill="D9D9D9"/>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 </w:t>
            </w:r>
          </w:p>
        </w:tc>
        <w:tc>
          <w:tcPr>
            <w:tcW w:w="1536" w:type="dxa"/>
            <w:tcBorders>
              <w:top w:val="nil"/>
              <w:left w:val="nil"/>
              <w:bottom w:val="single" w:sz="4" w:space="0" w:color="auto"/>
              <w:right w:val="nil"/>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£'000</w:t>
            </w:r>
          </w:p>
        </w:tc>
        <w:tc>
          <w:tcPr>
            <w:tcW w:w="1536" w:type="dxa"/>
            <w:tcBorders>
              <w:top w:val="nil"/>
              <w:left w:val="nil"/>
              <w:bottom w:val="single" w:sz="4" w:space="0" w:color="auto"/>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£'000</w:t>
            </w:r>
          </w:p>
        </w:tc>
      </w:tr>
      <w:tr w:rsidR="00100D19" w:rsidRPr="00100D19" w:rsidTr="00100D19">
        <w:trPr>
          <w:trHeight w:val="285"/>
        </w:trPr>
        <w:tc>
          <w:tcPr>
            <w:tcW w:w="3228" w:type="dxa"/>
            <w:tcBorders>
              <w:top w:val="nil"/>
              <w:left w:val="single" w:sz="4" w:space="0" w:color="auto"/>
              <w:bottom w:val="nil"/>
              <w:right w:val="nil"/>
            </w:tcBorders>
            <w:shd w:val="clear" w:color="auto" w:fill="auto"/>
            <w:noWrap/>
            <w:vAlign w:val="bottom"/>
            <w:hideMark/>
          </w:tcPr>
          <w:p w:rsidR="00100D19" w:rsidRPr="00100D19" w:rsidRDefault="00100D19" w:rsidP="00100D19">
            <w:pPr>
              <w:spacing w:after="0"/>
              <w:rPr>
                <w:rFonts w:cs="Arial"/>
                <w:color w:val="auto"/>
                <w:sz w:val="22"/>
                <w:szCs w:val="22"/>
              </w:rPr>
            </w:pPr>
            <w:r w:rsidRPr="00100D19">
              <w:rPr>
                <w:rFonts w:cs="Arial"/>
                <w:color w:val="auto"/>
                <w:sz w:val="22"/>
                <w:szCs w:val="22"/>
              </w:rPr>
              <w:t>Total Debt</w:t>
            </w:r>
          </w:p>
        </w:tc>
        <w:tc>
          <w:tcPr>
            <w:tcW w:w="1536" w:type="dxa"/>
            <w:tcBorders>
              <w:top w:val="nil"/>
              <w:left w:val="nil"/>
              <w:bottom w:val="nil"/>
              <w:right w:val="nil"/>
            </w:tcBorders>
            <w:shd w:val="clear" w:color="auto" w:fill="auto"/>
            <w:noWrap/>
            <w:vAlign w:val="bottom"/>
          </w:tcPr>
          <w:p w:rsidR="00100D19" w:rsidRPr="00100D19" w:rsidRDefault="00100D19" w:rsidP="00100D19">
            <w:pPr>
              <w:spacing w:after="0"/>
              <w:jc w:val="right"/>
              <w:rPr>
                <w:rFonts w:cs="Arial"/>
                <w:color w:val="auto"/>
                <w:sz w:val="22"/>
                <w:szCs w:val="22"/>
              </w:rPr>
            </w:pPr>
            <w:r w:rsidRPr="00100D19">
              <w:rPr>
                <w:rFonts w:cs="Arial"/>
                <w:color w:val="auto"/>
                <w:sz w:val="22"/>
                <w:szCs w:val="22"/>
              </w:rPr>
              <w:t>199,423</w:t>
            </w:r>
          </w:p>
        </w:tc>
        <w:tc>
          <w:tcPr>
            <w:tcW w:w="1536"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r w:rsidRPr="00100D19">
              <w:rPr>
                <w:rFonts w:cs="Arial"/>
                <w:color w:val="auto"/>
                <w:sz w:val="22"/>
                <w:szCs w:val="22"/>
              </w:rPr>
              <w:t>198,528</w:t>
            </w:r>
          </w:p>
        </w:tc>
      </w:tr>
      <w:tr w:rsidR="00100D19" w:rsidRPr="00100D19" w:rsidTr="00100D19">
        <w:trPr>
          <w:trHeight w:val="285"/>
        </w:trPr>
        <w:tc>
          <w:tcPr>
            <w:tcW w:w="3228" w:type="dxa"/>
            <w:tcBorders>
              <w:top w:val="nil"/>
              <w:left w:val="single" w:sz="4" w:space="0" w:color="auto"/>
              <w:bottom w:val="nil"/>
              <w:right w:val="nil"/>
            </w:tcBorders>
            <w:shd w:val="clear" w:color="auto" w:fill="auto"/>
            <w:noWrap/>
            <w:vAlign w:val="bottom"/>
            <w:hideMark/>
          </w:tcPr>
          <w:p w:rsidR="00100D19" w:rsidRPr="00100D19" w:rsidRDefault="00100D19" w:rsidP="00100D19">
            <w:pPr>
              <w:spacing w:after="0"/>
              <w:rPr>
                <w:rFonts w:cs="Arial"/>
                <w:color w:val="auto"/>
                <w:sz w:val="22"/>
                <w:szCs w:val="22"/>
              </w:rPr>
            </w:pPr>
            <w:r w:rsidRPr="00100D19">
              <w:rPr>
                <w:rFonts w:cs="Arial"/>
                <w:color w:val="auto"/>
                <w:sz w:val="22"/>
                <w:szCs w:val="22"/>
              </w:rPr>
              <w:t>Total Investment</w:t>
            </w:r>
          </w:p>
        </w:tc>
        <w:tc>
          <w:tcPr>
            <w:tcW w:w="1536" w:type="dxa"/>
            <w:tcBorders>
              <w:top w:val="nil"/>
              <w:left w:val="nil"/>
              <w:bottom w:val="nil"/>
              <w:right w:val="nil"/>
            </w:tcBorders>
            <w:shd w:val="clear" w:color="auto" w:fill="auto"/>
            <w:noWrap/>
            <w:vAlign w:val="bottom"/>
          </w:tcPr>
          <w:p w:rsidR="00100D19" w:rsidRPr="00100D19" w:rsidRDefault="00100D19" w:rsidP="00100D19">
            <w:pPr>
              <w:spacing w:after="0"/>
              <w:jc w:val="right"/>
              <w:rPr>
                <w:rFonts w:cs="Arial"/>
                <w:color w:val="auto"/>
                <w:sz w:val="22"/>
                <w:szCs w:val="22"/>
              </w:rPr>
            </w:pPr>
            <w:r w:rsidRPr="00100D19">
              <w:rPr>
                <w:rFonts w:cs="Arial"/>
                <w:color w:val="auto"/>
                <w:sz w:val="22"/>
                <w:szCs w:val="22"/>
              </w:rPr>
              <w:t>50,890</w:t>
            </w:r>
          </w:p>
        </w:tc>
        <w:tc>
          <w:tcPr>
            <w:tcW w:w="1536"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r w:rsidRPr="00100D19">
              <w:rPr>
                <w:rFonts w:cs="Arial"/>
                <w:color w:val="auto"/>
                <w:sz w:val="22"/>
                <w:szCs w:val="22"/>
              </w:rPr>
              <w:t>64,260</w:t>
            </w:r>
          </w:p>
        </w:tc>
      </w:tr>
      <w:tr w:rsidR="00100D19" w:rsidRPr="00100D19" w:rsidTr="00100D19">
        <w:trPr>
          <w:trHeight w:val="300"/>
        </w:trPr>
        <w:tc>
          <w:tcPr>
            <w:tcW w:w="3228" w:type="dxa"/>
            <w:tcBorders>
              <w:top w:val="nil"/>
              <w:left w:val="single" w:sz="4" w:space="0" w:color="auto"/>
              <w:bottom w:val="nil"/>
              <w:right w:val="nil"/>
            </w:tcBorders>
            <w:shd w:val="clear" w:color="auto" w:fill="auto"/>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Net Borrowing Position</w:t>
            </w:r>
          </w:p>
        </w:tc>
        <w:tc>
          <w:tcPr>
            <w:tcW w:w="1536" w:type="dxa"/>
            <w:tcBorders>
              <w:top w:val="nil"/>
              <w:left w:val="nil"/>
              <w:bottom w:val="nil"/>
              <w:right w:val="nil"/>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148,533</w:t>
            </w:r>
          </w:p>
        </w:tc>
        <w:tc>
          <w:tcPr>
            <w:tcW w:w="1536"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134,268</w:t>
            </w:r>
          </w:p>
        </w:tc>
      </w:tr>
      <w:tr w:rsidR="00100D19" w:rsidRPr="00100D19" w:rsidTr="00100D19">
        <w:trPr>
          <w:trHeight w:val="285"/>
        </w:trPr>
        <w:tc>
          <w:tcPr>
            <w:tcW w:w="3228" w:type="dxa"/>
            <w:tcBorders>
              <w:top w:val="nil"/>
              <w:left w:val="single" w:sz="4" w:space="0" w:color="auto"/>
              <w:bottom w:val="nil"/>
              <w:right w:val="nil"/>
            </w:tcBorders>
            <w:shd w:val="clear" w:color="auto" w:fill="auto"/>
            <w:noWrap/>
            <w:vAlign w:val="bottom"/>
            <w:hideMark/>
          </w:tcPr>
          <w:p w:rsidR="00100D19" w:rsidRPr="00100D19" w:rsidRDefault="00100D19" w:rsidP="00100D19">
            <w:pPr>
              <w:spacing w:after="0"/>
              <w:rPr>
                <w:rFonts w:cs="Arial"/>
                <w:color w:val="auto"/>
                <w:sz w:val="22"/>
                <w:szCs w:val="22"/>
              </w:rPr>
            </w:pPr>
            <w:r w:rsidRPr="00100D19">
              <w:rPr>
                <w:rFonts w:cs="Arial"/>
                <w:color w:val="auto"/>
                <w:sz w:val="22"/>
                <w:szCs w:val="22"/>
              </w:rPr>
              <w:t> </w:t>
            </w:r>
          </w:p>
        </w:tc>
        <w:tc>
          <w:tcPr>
            <w:tcW w:w="1536" w:type="dxa"/>
            <w:tcBorders>
              <w:top w:val="nil"/>
              <w:left w:val="nil"/>
              <w:bottom w:val="nil"/>
              <w:right w:val="nil"/>
            </w:tcBorders>
            <w:shd w:val="clear" w:color="auto" w:fill="auto"/>
            <w:noWrap/>
            <w:vAlign w:val="bottom"/>
          </w:tcPr>
          <w:p w:rsidR="00100D19" w:rsidRPr="00100D19" w:rsidRDefault="00100D19" w:rsidP="00100D19">
            <w:pPr>
              <w:spacing w:after="0"/>
              <w:rPr>
                <w:rFonts w:cs="Arial"/>
                <w:color w:val="auto"/>
                <w:sz w:val="22"/>
                <w:szCs w:val="22"/>
              </w:rPr>
            </w:pPr>
          </w:p>
        </w:tc>
        <w:tc>
          <w:tcPr>
            <w:tcW w:w="1536"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rPr>
                <w:rFonts w:cs="Arial"/>
                <w:color w:val="auto"/>
                <w:sz w:val="22"/>
                <w:szCs w:val="22"/>
              </w:rPr>
            </w:pPr>
          </w:p>
        </w:tc>
      </w:tr>
      <w:tr w:rsidR="00100D19" w:rsidRPr="00100D19" w:rsidTr="00100D19">
        <w:trPr>
          <w:trHeight w:val="300"/>
        </w:trPr>
        <w:tc>
          <w:tcPr>
            <w:tcW w:w="3228" w:type="dxa"/>
            <w:tcBorders>
              <w:top w:val="nil"/>
              <w:left w:val="single" w:sz="4" w:space="0" w:color="auto"/>
              <w:bottom w:val="nil"/>
              <w:right w:val="nil"/>
            </w:tcBorders>
            <w:shd w:val="clear" w:color="auto" w:fill="auto"/>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CFR</w:t>
            </w:r>
          </w:p>
        </w:tc>
        <w:tc>
          <w:tcPr>
            <w:tcW w:w="1536" w:type="dxa"/>
            <w:tcBorders>
              <w:top w:val="nil"/>
              <w:left w:val="nil"/>
              <w:bottom w:val="nil"/>
              <w:right w:val="nil"/>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220,706</w:t>
            </w:r>
          </w:p>
        </w:tc>
        <w:tc>
          <w:tcPr>
            <w:tcW w:w="1536"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220,669</w:t>
            </w:r>
          </w:p>
        </w:tc>
      </w:tr>
      <w:tr w:rsidR="00100D19" w:rsidRPr="00100D19" w:rsidTr="00100D19">
        <w:trPr>
          <w:trHeight w:val="300"/>
        </w:trPr>
        <w:tc>
          <w:tcPr>
            <w:tcW w:w="3228" w:type="dxa"/>
            <w:tcBorders>
              <w:top w:val="nil"/>
              <w:left w:val="single" w:sz="4" w:space="0" w:color="auto"/>
              <w:bottom w:val="single" w:sz="4" w:space="0" w:color="auto"/>
              <w:right w:val="nil"/>
            </w:tcBorders>
            <w:shd w:val="clear" w:color="auto" w:fill="auto"/>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Under Borrowing</w:t>
            </w:r>
            <w:r w:rsidR="0037743F">
              <w:rPr>
                <w:rFonts w:cs="Arial"/>
                <w:b/>
                <w:bCs/>
                <w:color w:val="auto"/>
                <w:sz w:val="22"/>
                <w:szCs w:val="22"/>
              </w:rPr>
              <w:t xml:space="preserve"> plus Investments</w:t>
            </w:r>
          </w:p>
        </w:tc>
        <w:tc>
          <w:tcPr>
            <w:tcW w:w="1536" w:type="dxa"/>
            <w:tcBorders>
              <w:top w:val="nil"/>
              <w:left w:val="nil"/>
              <w:bottom w:val="single" w:sz="4" w:space="0" w:color="auto"/>
              <w:right w:val="nil"/>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72,173</w:t>
            </w:r>
          </w:p>
        </w:tc>
        <w:tc>
          <w:tcPr>
            <w:tcW w:w="1536" w:type="dxa"/>
            <w:tcBorders>
              <w:top w:val="nil"/>
              <w:left w:val="nil"/>
              <w:bottom w:val="single" w:sz="4" w:space="0" w:color="auto"/>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86,401</w:t>
            </w:r>
          </w:p>
        </w:tc>
      </w:tr>
    </w:tbl>
    <w:p w:rsidR="00100D19" w:rsidRPr="00100D19" w:rsidRDefault="00100D19" w:rsidP="00100D19">
      <w:pPr>
        <w:pStyle w:val="bParagraphtext"/>
        <w:numPr>
          <w:ilvl w:val="0"/>
          <w:numId w:val="0"/>
        </w:numPr>
        <w:spacing w:after="0"/>
        <w:ind w:left="425"/>
      </w:pPr>
    </w:p>
    <w:p w:rsidR="00100D19" w:rsidRPr="00100D19" w:rsidRDefault="00100D19" w:rsidP="00100D19">
      <w:pPr>
        <w:pStyle w:val="bParagraphtext"/>
      </w:pPr>
      <w:r w:rsidRPr="00100D19">
        <w:rPr>
          <w:lang w:val="en"/>
        </w:rPr>
        <w:t xml:space="preserve">In the current climate, internal borrowing is preferable to borrowing externally as the interest rate payable on an external loan is much higher than that which can be earnt on </w:t>
      </w:r>
      <w:r w:rsidR="003C415C">
        <w:rPr>
          <w:lang w:val="en"/>
        </w:rPr>
        <w:t>investments</w:t>
      </w:r>
      <w:r w:rsidRPr="00100D19">
        <w:rPr>
          <w:lang w:val="en"/>
        </w:rPr>
        <w:t>. Therefore, forfeiting interest receivable on investments is more economical than paying additional interest charges for new external debt.  Clearly, if the net borrowing position and/or CFR changed significantly, the prospect of taking on additional debt would be reviewed.</w:t>
      </w:r>
    </w:p>
    <w:p w:rsidR="00100D19" w:rsidRDefault="00100D19" w:rsidP="00100D19">
      <w:pPr>
        <w:pStyle w:val="bParagraphtext"/>
      </w:pPr>
      <w:r w:rsidRPr="00100D19">
        <w:rPr>
          <w:b/>
          <w:i/>
        </w:rPr>
        <w:t>The Authorised Limit</w:t>
      </w:r>
      <w:r w:rsidRPr="00100D19">
        <w:t xml:space="preserve"> – The Authorised Limit is the ‘affordable borrowing limit’ required by S3 of the Local Government Act 2003.  The Council does not have the power to borrow above this level unless it explicitly agrees to do so.  Table 5 below demonstrates that during 2015/16 the Council’s gross borrowing was within its Authorised Limit.  The Authorised Limit allows the Council to borrow against the future CFR if required, with a little headroom.</w:t>
      </w:r>
    </w:p>
    <w:p w:rsidR="00100D19" w:rsidRDefault="00100D19" w:rsidP="00D665B3">
      <w:pPr>
        <w:pStyle w:val="bParagraphtext"/>
        <w:numPr>
          <w:ilvl w:val="0"/>
          <w:numId w:val="0"/>
        </w:numPr>
        <w:spacing w:after="0"/>
        <w:ind w:left="425"/>
      </w:pPr>
    </w:p>
    <w:p w:rsidR="00D665B3" w:rsidRPr="00D665B3" w:rsidRDefault="00D665B3" w:rsidP="00D665B3">
      <w:pPr>
        <w:spacing w:after="0"/>
        <w:ind w:left="360"/>
        <w:rPr>
          <w:b/>
          <w:color w:val="auto"/>
          <w:lang w:eastAsia="en-US"/>
        </w:rPr>
      </w:pPr>
      <w:r w:rsidRPr="00D665B3">
        <w:rPr>
          <w:b/>
          <w:color w:val="auto"/>
          <w:lang w:eastAsia="en-US"/>
        </w:rPr>
        <w:t>Table 5</w:t>
      </w:r>
    </w:p>
    <w:tbl>
      <w:tblPr>
        <w:tblW w:w="7943" w:type="dxa"/>
        <w:tblInd w:w="720" w:type="dxa"/>
        <w:tblLook w:val="04A0" w:firstRow="1" w:lastRow="0" w:firstColumn="1" w:lastColumn="0" w:noHBand="0" w:noVBand="1"/>
      </w:tblPr>
      <w:tblGrid>
        <w:gridCol w:w="2840"/>
        <w:gridCol w:w="1276"/>
        <w:gridCol w:w="1276"/>
        <w:gridCol w:w="1276"/>
        <w:gridCol w:w="1275"/>
      </w:tblGrid>
      <w:tr w:rsidR="00D665B3" w:rsidRPr="00D665B3" w:rsidTr="00D665B3">
        <w:trPr>
          <w:trHeight w:val="600"/>
        </w:trPr>
        <w:tc>
          <w:tcPr>
            <w:tcW w:w="2840" w:type="dxa"/>
            <w:tcBorders>
              <w:top w:val="single" w:sz="4" w:space="0" w:color="auto"/>
              <w:left w:val="single" w:sz="4" w:space="0" w:color="auto"/>
              <w:bottom w:val="nil"/>
              <w:right w:val="nil"/>
            </w:tcBorders>
            <w:shd w:val="clear" w:color="000000" w:fill="D9D9D9"/>
            <w:noWrap/>
            <w:vAlign w:val="bottom"/>
            <w:hideMark/>
          </w:tcPr>
          <w:p w:rsidR="00D665B3" w:rsidRPr="00D665B3" w:rsidRDefault="00D665B3" w:rsidP="00D665B3">
            <w:pPr>
              <w:spacing w:after="0"/>
              <w:rPr>
                <w:rFonts w:cs="Arial"/>
                <w:b/>
                <w:bCs/>
                <w:color w:val="auto"/>
                <w:sz w:val="22"/>
                <w:szCs w:val="22"/>
              </w:rPr>
            </w:pPr>
            <w:r w:rsidRPr="00D665B3">
              <w:rPr>
                <w:rFonts w:cs="Arial"/>
                <w:b/>
                <w:bCs/>
                <w:color w:val="auto"/>
                <w:sz w:val="22"/>
                <w:szCs w:val="22"/>
              </w:rPr>
              <w:t>Authorised Borrowing</w:t>
            </w:r>
          </w:p>
        </w:tc>
        <w:tc>
          <w:tcPr>
            <w:tcW w:w="2552" w:type="dxa"/>
            <w:gridSpan w:val="2"/>
            <w:tcBorders>
              <w:top w:val="single" w:sz="4" w:space="0" w:color="auto"/>
              <w:left w:val="single" w:sz="4" w:space="0" w:color="auto"/>
              <w:bottom w:val="nil"/>
              <w:right w:val="single" w:sz="4" w:space="0" w:color="000000"/>
            </w:tcBorders>
            <w:shd w:val="clear" w:color="000000" w:fill="D9D9D9"/>
            <w:vAlign w:val="bottom"/>
            <w:hideMark/>
          </w:tcPr>
          <w:p w:rsidR="00D665B3" w:rsidRPr="00D665B3" w:rsidRDefault="00EA1ADC" w:rsidP="00D665B3">
            <w:pPr>
              <w:spacing w:after="0"/>
              <w:jc w:val="center"/>
              <w:rPr>
                <w:rFonts w:cs="Arial"/>
                <w:b/>
                <w:bCs/>
                <w:color w:val="auto"/>
                <w:sz w:val="22"/>
                <w:szCs w:val="22"/>
              </w:rPr>
            </w:pPr>
            <w:r>
              <w:rPr>
                <w:rFonts w:cs="Arial"/>
                <w:b/>
                <w:bCs/>
                <w:color w:val="auto"/>
                <w:sz w:val="22"/>
                <w:szCs w:val="22"/>
              </w:rPr>
              <w:t>31</w:t>
            </w:r>
            <w:r w:rsidR="00D665B3" w:rsidRPr="00D665B3">
              <w:rPr>
                <w:rFonts w:cs="Arial"/>
                <w:b/>
                <w:bCs/>
                <w:color w:val="auto"/>
                <w:sz w:val="22"/>
                <w:szCs w:val="22"/>
              </w:rPr>
              <w:t xml:space="preserve"> March 2015</w:t>
            </w:r>
          </w:p>
        </w:tc>
        <w:tc>
          <w:tcPr>
            <w:tcW w:w="2551" w:type="dxa"/>
            <w:gridSpan w:val="2"/>
            <w:tcBorders>
              <w:top w:val="single" w:sz="4" w:space="0" w:color="auto"/>
              <w:left w:val="nil"/>
              <w:bottom w:val="nil"/>
              <w:right w:val="single" w:sz="4" w:space="0" w:color="000000"/>
            </w:tcBorders>
            <w:shd w:val="clear" w:color="000000" w:fill="D9D9D9"/>
            <w:vAlign w:val="bottom"/>
            <w:hideMark/>
          </w:tcPr>
          <w:p w:rsidR="00D665B3" w:rsidRPr="00D665B3" w:rsidRDefault="00EA1ADC" w:rsidP="00D665B3">
            <w:pPr>
              <w:spacing w:after="0"/>
              <w:jc w:val="center"/>
              <w:rPr>
                <w:rFonts w:cs="Arial"/>
                <w:b/>
                <w:bCs/>
                <w:color w:val="auto"/>
                <w:sz w:val="22"/>
                <w:szCs w:val="22"/>
              </w:rPr>
            </w:pPr>
            <w:r>
              <w:rPr>
                <w:rFonts w:cs="Arial"/>
                <w:b/>
                <w:bCs/>
                <w:color w:val="auto"/>
                <w:sz w:val="22"/>
                <w:szCs w:val="22"/>
              </w:rPr>
              <w:t>31</w:t>
            </w:r>
            <w:r w:rsidR="00D665B3" w:rsidRPr="00D665B3">
              <w:rPr>
                <w:rFonts w:cs="Arial"/>
                <w:b/>
                <w:bCs/>
                <w:color w:val="auto"/>
                <w:sz w:val="22"/>
                <w:szCs w:val="22"/>
              </w:rPr>
              <w:t xml:space="preserve"> March 2016</w:t>
            </w:r>
          </w:p>
        </w:tc>
      </w:tr>
      <w:tr w:rsidR="00D665B3" w:rsidRPr="00D665B3" w:rsidTr="00D665B3">
        <w:trPr>
          <w:trHeight w:val="300"/>
        </w:trPr>
        <w:tc>
          <w:tcPr>
            <w:tcW w:w="2840" w:type="dxa"/>
            <w:tcBorders>
              <w:top w:val="nil"/>
              <w:left w:val="single" w:sz="4" w:space="0" w:color="auto"/>
              <w:bottom w:val="nil"/>
              <w:right w:val="nil"/>
            </w:tcBorders>
            <w:shd w:val="clear" w:color="000000" w:fill="D9D9D9"/>
            <w:noWrap/>
            <w:vAlign w:val="bottom"/>
            <w:hideMark/>
          </w:tcPr>
          <w:p w:rsidR="00D665B3" w:rsidRPr="00D665B3" w:rsidRDefault="00D665B3" w:rsidP="00D665B3">
            <w:pPr>
              <w:spacing w:after="0"/>
              <w:rPr>
                <w:rFonts w:cs="Arial"/>
                <w:color w:val="auto"/>
                <w:sz w:val="22"/>
                <w:szCs w:val="22"/>
              </w:rPr>
            </w:pPr>
            <w:r w:rsidRPr="00D665B3">
              <w:rPr>
                <w:rFonts w:cs="Arial"/>
                <w:color w:val="auto"/>
                <w:sz w:val="22"/>
                <w:szCs w:val="22"/>
              </w:rPr>
              <w:t> </w:t>
            </w:r>
          </w:p>
        </w:tc>
        <w:tc>
          <w:tcPr>
            <w:tcW w:w="1276" w:type="dxa"/>
            <w:tcBorders>
              <w:top w:val="nil"/>
              <w:left w:val="single" w:sz="4" w:space="0" w:color="auto"/>
              <w:bottom w:val="nil"/>
              <w:right w:val="nil"/>
            </w:tcBorders>
            <w:shd w:val="clear" w:color="000000" w:fill="D9D9D9"/>
            <w:noWrap/>
            <w:vAlign w:val="bottom"/>
            <w:hideMark/>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Estimate</w:t>
            </w:r>
          </w:p>
        </w:tc>
        <w:tc>
          <w:tcPr>
            <w:tcW w:w="1276" w:type="dxa"/>
            <w:tcBorders>
              <w:top w:val="nil"/>
              <w:left w:val="nil"/>
              <w:bottom w:val="nil"/>
              <w:right w:val="single" w:sz="4" w:space="0" w:color="auto"/>
            </w:tcBorders>
            <w:shd w:val="clear" w:color="000000" w:fill="D9D9D9"/>
            <w:noWrap/>
            <w:vAlign w:val="bottom"/>
            <w:hideMark/>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Actual</w:t>
            </w:r>
          </w:p>
        </w:tc>
        <w:tc>
          <w:tcPr>
            <w:tcW w:w="1276" w:type="dxa"/>
            <w:tcBorders>
              <w:top w:val="nil"/>
              <w:left w:val="nil"/>
              <w:bottom w:val="nil"/>
              <w:right w:val="nil"/>
            </w:tcBorders>
            <w:shd w:val="clear" w:color="000000" w:fill="D9D9D9"/>
            <w:noWrap/>
            <w:vAlign w:val="bottom"/>
            <w:hideMark/>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Estimate</w:t>
            </w:r>
          </w:p>
        </w:tc>
        <w:tc>
          <w:tcPr>
            <w:tcW w:w="1275" w:type="dxa"/>
            <w:tcBorders>
              <w:top w:val="nil"/>
              <w:left w:val="nil"/>
              <w:bottom w:val="nil"/>
              <w:right w:val="single" w:sz="4" w:space="0" w:color="auto"/>
            </w:tcBorders>
            <w:shd w:val="clear" w:color="000000" w:fill="D9D9D9"/>
            <w:noWrap/>
            <w:vAlign w:val="bottom"/>
            <w:hideMark/>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Actual</w:t>
            </w:r>
          </w:p>
        </w:tc>
      </w:tr>
      <w:tr w:rsidR="00D665B3" w:rsidRPr="00D665B3" w:rsidTr="00D665B3">
        <w:trPr>
          <w:trHeight w:val="300"/>
        </w:trPr>
        <w:tc>
          <w:tcPr>
            <w:tcW w:w="2840" w:type="dxa"/>
            <w:tcBorders>
              <w:top w:val="nil"/>
              <w:left w:val="single" w:sz="4" w:space="0" w:color="auto"/>
              <w:bottom w:val="single" w:sz="4" w:space="0" w:color="auto"/>
              <w:right w:val="nil"/>
            </w:tcBorders>
            <w:shd w:val="clear" w:color="000000" w:fill="D9D9D9"/>
            <w:noWrap/>
            <w:vAlign w:val="bottom"/>
            <w:hideMark/>
          </w:tcPr>
          <w:p w:rsidR="00D665B3" w:rsidRPr="00D665B3" w:rsidRDefault="00D665B3" w:rsidP="00D665B3">
            <w:pPr>
              <w:spacing w:after="0"/>
              <w:rPr>
                <w:rFonts w:cs="Arial"/>
                <w:color w:val="auto"/>
                <w:sz w:val="22"/>
                <w:szCs w:val="22"/>
              </w:rPr>
            </w:pPr>
            <w:r w:rsidRPr="00D665B3">
              <w:rPr>
                <w:rFonts w:cs="Arial"/>
                <w:color w:val="auto"/>
                <w:sz w:val="22"/>
                <w:szCs w:val="22"/>
              </w:rPr>
              <w:t> </w:t>
            </w:r>
          </w:p>
        </w:tc>
        <w:tc>
          <w:tcPr>
            <w:tcW w:w="1276" w:type="dxa"/>
            <w:tcBorders>
              <w:top w:val="nil"/>
              <w:left w:val="single" w:sz="4" w:space="0" w:color="auto"/>
              <w:bottom w:val="single" w:sz="4" w:space="0" w:color="auto"/>
              <w:right w:val="nil"/>
            </w:tcBorders>
            <w:shd w:val="clear" w:color="000000" w:fill="D9D9D9"/>
            <w:noWrap/>
            <w:vAlign w:val="bottom"/>
            <w:hideMark/>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£'000</w:t>
            </w:r>
          </w:p>
        </w:tc>
        <w:tc>
          <w:tcPr>
            <w:tcW w:w="1276" w:type="dxa"/>
            <w:tcBorders>
              <w:top w:val="nil"/>
              <w:left w:val="nil"/>
              <w:bottom w:val="single" w:sz="4" w:space="0" w:color="auto"/>
              <w:right w:val="single" w:sz="4" w:space="0" w:color="auto"/>
            </w:tcBorders>
            <w:shd w:val="clear" w:color="000000" w:fill="D9D9D9"/>
            <w:noWrap/>
            <w:vAlign w:val="bottom"/>
            <w:hideMark/>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£'000</w:t>
            </w:r>
          </w:p>
        </w:tc>
        <w:tc>
          <w:tcPr>
            <w:tcW w:w="1276" w:type="dxa"/>
            <w:tcBorders>
              <w:top w:val="nil"/>
              <w:left w:val="nil"/>
              <w:bottom w:val="single" w:sz="4" w:space="0" w:color="auto"/>
              <w:right w:val="nil"/>
            </w:tcBorders>
            <w:shd w:val="clear" w:color="000000" w:fill="D9D9D9"/>
            <w:noWrap/>
            <w:vAlign w:val="bottom"/>
            <w:hideMark/>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£'000</w:t>
            </w:r>
          </w:p>
        </w:tc>
        <w:tc>
          <w:tcPr>
            <w:tcW w:w="1275" w:type="dxa"/>
            <w:tcBorders>
              <w:top w:val="nil"/>
              <w:left w:val="nil"/>
              <w:bottom w:val="single" w:sz="4" w:space="0" w:color="auto"/>
              <w:right w:val="single" w:sz="4" w:space="0" w:color="auto"/>
            </w:tcBorders>
            <w:shd w:val="clear" w:color="000000" w:fill="D9D9D9"/>
            <w:noWrap/>
            <w:vAlign w:val="bottom"/>
            <w:hideMark/>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£'000</w:t>
            </w:r>
          </w:p>
        </w:tc>
      </w:tr>
      <w:tr w:rsidR="00D665B3" w:rsidRPr="00D665B3" w:rsidTr="00D665B3">
        <w:trPr>
          <w:trHeight w:val="285"/>
        </w:trPr>
        <w:tc>
          <w:tcPr>
            <w:tcW w:w="2840" w:type="dxa"/>
            <w:tcBorders>
              <w:top w:val="single" w:sz="4" w:space="0" w:color="auto"/>
              <w:left w:val="single" w:sz="4" w:space="0" w:color="auto"/>
              <w:bottom w:val="nil"/>
              <w:right w:val="nil"/>
            </w:tcBorders>
            <w:shd w:val="clear" w:color="auto" w:fill="auto"/>
            <w:noWrap/>
            <w:vAlign w:val="bottom"/>
            <w:hideMark/>
          </w:tcPr>
          <w:p w:rsidR="00D665B3" w:rsidRPr="00D665B3" w:rsidRDefault="00D665B3" w:rsidP="00D665B3">
            <w:pPr>
              <w:spacing w:after="0"/>
              <w:rPr>
                <w:rFonts w:cs="Arial"/>
                <w:color w:val="auto"/>
                <w:sz w:val="22"/>
                <w:szCs w:val="22"/>
              </w:rPr>
            </w:pPr>
            <w:r w:rsidRPr="00D665B3">
              <w:rPr>
                <w:rFonts w:cs="Arial"/>
                <w:color w:val="auto"/>
                <w:sz w:val="22"/>
                <w:szCs w:val="22"/>
              </w:rPr>
              <w:t>Borrowing</w:t>
            </w:r>
          </w:p>
        </w:tc>
        <w:tc>
          <w:tcPr>
            <w:tcW w:w="1276" w:type="dxa"/>
            <w:tcBorders>
              <w:top w:val="single" w:sz="4" w:space="0" w:color="auto"/>
              <w:left w:val="single" w:sz="4" w:space="0" w:color="auto"/>
              <w:bottom w:val="nil"/>
              <w:right w:val="nil"/>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247,000</w:t>
            </w:r>
          </w:p>
        </w:tc>
        <w:tc>
          <w:tcPr>
            <w:tcW w:w="1276" w:type="dxa"/>
            <w:tcBorders>
              <w:top w:val="single" w:sz="4" w:space="0" w:color="auto"/>
              <w:left w:val="nil"/>
              <w:bottom w:val="nil"/>
              <w:right w:val="single" w:sz="4" w:space="0" w:color="auto"/>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199,423</w:t>
            </w:r>
          </w:p>
        </w:tc>
        <w:tc>
          <w:tcPr>
            <w:tcW w:w="1276" w:type="dxa"/>
            <w:tcBorders>
              <w:top w:val="single" w:sz="4" w:space="0" w:color="auto"/>
              <w:left w:val="nil"/>
              <w:bottom w:val="nil"/>
              <w:right w:val="nil"/>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247,566</w:t>
            </w:r>
          </w:p>
        </w:tc>
        <w:tc>
          <w:tcPr>
            <w:tcW w:w="1275" w:type="dxa"/>
            <w:tcBorders>
              <w:top w:val="single" w:sz="4" w:space="0" w:color="auto"/>
              <w:left w:val="nil"/>
              <w:bottom w:val="nil"/>
              <w:right w:val="single" w:sz="4" w:space="0" w:color="auto"/>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198,528</w:t>
            </w:r>
          </w:p>
        </w:tc>
      </w:tr>
      <w:tr w:rsidR="00D665B3" w:rsidRPr="00D665B3" w:rsidTr="00D665B3">
        <w:trPr>
          <w:trHeight w:val="285"/>
        </w:trPr>
        <w:tc>
          <w:tcPr>
            <w:tcW w:w="2840" w:type="dxa"/>
            <w:tcBorders>
              <w:top w:val="nil"/>
              <w:left w:val="single" w:sz="4" w:space="0" w:color="auto"/>
              <w:bottom w:val="nil"/>
              <w:right w:val="nil"/>
            </w:tcBorders>
            <w:shd w:val="clear" w:color="auto" w:fill="auto"/>
            <w:noWrap/>
            <w:vAlign w:val="bottom"/>
            <w:hideMark/>
          </w:tcPr>
          <w:p w:rsidR="00D665B3" w:rsidRPr="00D665B3" w:rsidRDefault="00D665B3" w:rsidP="00D665B3">
            <w:pPr>
              <w:spacing w:after="0"/>
              <w:rPr>
                <w:rFonts w:cs="Arial"/>
                <w:color w:val="auto"/>
                <w:sz w:val="22"/>
                <w:szCs w:val="22"/>
              </w:rPr>
            </w:pPr>
            <w:r w:rsidRPr="00D665B3">
              <w:rPr>
                <w:rFonts w:cs="Arial"/>
                <w:color w:val="auto"/>
                <w:sz w:val="22"/>
                <w:szCs w:val="22"/>
              </w:rPr>
              <w:t>Other Long Term Liabilities</w:t>
            </w:r>
          </w:p>
        </w:tc>
        <w:tc>
          <w:tcPr>
            <w:tcW w:w="1276" w:type="dxa"/>
            <w:tcBorders>
              <w:top w:val="nil"/>
              <w:left w:val="single" w:sz="4" w:space="0" w:color="auto"/>
              <w:bottom w:val="nil"/>
              <w:right w:val="nil"/>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0</w:t>
            </w:r>
          </w:p>
        </w:tc>
        <w:tc>
          <w:tcPr>
            <w:tcW w:w="1276" w:type="dxa"/>
            <w:tcBorders>
              <w:top w:val="nil"/>
              <w:left w:val="nil"/>
              <w:bottom w:val="nil"/>
              <w:right w:val="single" w:sz="4" w:space="0" w:color="auto"/>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0</w:t>
            </w:r>
          </w:p>
        </w:tc>
        <w:tc>
          <w:tcPr>
            <w:tcW w:w="1276" w:type="dxa"/>
            <w:tcBorders>
              <w:top w:val="nil"/>
              <w:left w:val="nil"/>
              <w:bottom w:val="nil"/>
              <w:right w:val="nil"/>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0</w:t>
            </w:r>
          </w:p>
        </w:tc>
        <w:tc>
          <w:tcPr>
            <w:tcW w:w="1275" w:type="dxa"/>
            <w:tcBorders>
              <w:top w:val="nil"/>
              <w:left w:val="nil"/>
              <w:bottom w:val="nil"/>
              <w:right w:val="single" w:sz="4" w:space="0" w:color="auto"/>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0</w:t>
            </w:r>
          </w:p>
        </w:tc>
      </w:tr>
      <w:tr w:rsidR="00D665B3" w:rsidRPr="00D665B3" w:rsidTr="00D665B3">
        <w:trPr>
          <w:trHeight w:val="300"/>
        </w:trPr>
        <w:tc>
          <w:tcPr>
            <w:tcW w:w="2840" w:type="dxa"/>
            <w:tcBorders>
              <w:top w:val="nil"/>
              <w:left w:val="single" w:sz="4" w:space="0" w:color="auto"/>
              <w:bottom w:val="nil"/>
              <w:right w:val="nil"/>
            </w:tcBorders>
            <w:shd w:val="clear" w:color="auto" w:fill="auto"/>
            <w:noWrap/>
            <w:vAlign w:val="bottom"/>
            <w:hideMark/>
          </w:tcPr>
          <w:p w:rsidR="00D665B3" w:rsidRPr="00D665B3" w:rsidRDefault="00D665B3" w:rsidP="00D665B3">
            <w:pPr>
              <w:spacing w:after="0"/>
              <w:rPr>
                <w:rFonts w:cs="Arial"/>
                <w:b/>
                <w:bCs/>
                <w:color w:val="auto"/>
                <w:sz w:val="22"/>
                <w:szCs w:val="22"/>
              </w:rPr>
            </w:pPr>
            <w:r w:rsidRPr="00D665B3">
              <w:rPr>
                <w:rFonts w:cs="Arial"/>
                <w:b/>
                <w:bCs/>
                <w:color w:val="auto"/>
                <w:sz w:val="22"/>
                <w:szCs w:val="22"/>
              </w:rPr>
              <w:t>Total Borrowed</w:t>
            </w:r>
          </w:p>
        </w:tc>
        <w:tc>
          <w:tcPr>
            <w:tcW w:w="1276" w:type="dxa"/>
            <w:tcBorders>
              <w:top w:val="nil"/>
              <w:left w:val="single" w:sz="4" w:space="0" w:color="auto"/>
              <w:bottom w:val="nil"/>
              <w:right w:val="nil"/>
            </w:tcBorders>
            <w:shd w:val="clear" w:color="auto" w:fill="auto"/>
            <w:noWrap/>
            <w:vAlign w:val="bottom"/>
          </w:tcPr>
          <w:p w:rsidR="00D665B3" w:rsidRPr="00D665B3" w:rsidRDefault="00D665B3" w:rsidP="00D665B3">
            <w:pPr>
              <w:spacing w:after="0"/>
              <w:jc w:val="right"/>
              <w:rPr>
                <w:rFonts w:cs="Arial"/>
                <w:b/>
                <w:bCs/>
                <w:color w:val="auto"/>
                <w:sz w:val="22"/>
                <w:szCs w:val="22"/>
              </w:rPr>
            </w:pPr>
            <w:r w:rsidRPr="00D665B3">
              <w:rPr>
                <w:rFonts w:cs="Arial"/>
                <w:b/>
                <w:bCs/>
                <w:color w:val="auto"/>
                <w:sz w:val="22"/>
                <w:szCs w:val="22"/>
              </w:rPr>
              <w:t>247,000</w:t>
            </w:r>
          </w:p>
        </w:tc>
        <w:tc>
          <w:tcPr>
            <w:tcW w:w="1276" w:type="dxa"/>
            <w:tcBorders>
              <w:top w:val="nil"/>
              <w:left w:val="nil"/>
              <w:bottom w:val="nil"/>
              <w:right w:val="single" w:sz="4" w:space="0" w:color="auto"/>
            </w:tcBorders>
            <w:shd w:val="clear" w:color="auto" w:fill="auto"/>
            <w:noWrap/>
            <w:vAlign w:val="bottom"/>
          </w:tcPr>
          <w:p w:rsidR="00D665B3" w:rsidRPr="00D665B3" w:rsidRDefault="00D665B3" w:rsidP="00D665B3">
            <w:pPr>
              <w:spacing w:after="0"/>
              <w:jc w:val="right"/>
              <w:rPr>
                <w:rFonts w:cs="Arial"/>
                <w:b/>
                <w:bCs/>
                <w:color w:val="auto"/>
                <w:sz w:val="22"/>
                <w:szCs w:val="22"/>
              </w:rPr>
            </w:pPr>
            <w:r w:rsidRPr="00D665B3">
              <w:rPr>
                <w:rFonts w:cs="Arial"/>
                <w:b/>
                <w:bCs/>
                <w:color w:val="auto"/>
                <w:sz w:val="22"/>
                <w:szCs w:val="22"/>
              </w:rPr>
              <w:t>199,423</w:t>
            </w:r>
          </w:p>
        </w:tc>
        <w:tc>
          <w:tcPr>
            <w:tcW w:w="1276" w:type="dxa"/>
            <w:tcBorders>
              <w:top w:val="nil"/>
              <w:left w:val="nil"/>
              <w:bottom w:val="nil"/>
              <w:right w:val="nil"/>
            </w:tcBorders>
            <w:shd w:val="clear" w:color="auto" w:fill="auto"/>
            <w:noWrap/>
            <w:vAlign w:val="bottom"/>
          </w:tcPr>
          <w:p w:rsidR="00D665B3" w:rsidRPr="00D665B3" w:rsidRDefault="00D665B3" w:rsidP="00D665B3">
            <w:pPr>
              <w:spacing w:after="0"/>
              <w:jc w:val="right"/>
              <w:rPr>
                <w:rFonts w:cs="Arial"/>
                <w:b/>
                <w:bCs/>
                <w:color w:val="auto"/>
                <w:sz w:val="22"/>
                <w:szCs w:val="22"/>
              </w:rPr>
            </w:pPr>
            <w:r w:rsidRPr="00D665B3">
              <w:rPr>
                <w:rFonts w:cs="Arial"/>
                <w:b/>
                <w:bCs/>
                <w:color w:val="auto"/>
                <w:sz w:val="22"/>
                <w:szCs w:val="22"/>
              </w:rPr>
              <w:t>247,566</w:t>
            </w:r>
          </w:p>
        </w:tc>
        <w:tc>
          <w:tcPr>
            <w:tcW w:w="1275" w:type="dxa"/>
            <w:tcBorders>
              <w:top w:val="nil"/>
              <w:left w:val="nil"/>
              <w:bottom w:val="nil"/>
              <w:right w:val="single" w:sz="4" w:space="0" w:color="auto"/>
            </w:tcBorders>
            <w:shd w:val="clear" w:color="auto" w:fill="auto"/>
            <w:noWrap/>
            <w:vAlign w:val="bottom"/>
          </w:tcPr>
          <w:p w:rsidR="00D665B3" w:rsidRPr="00D665B3" w:rsidRDefault="00D665B3" w:rsidP="00D665B3">
            <w:pPr>
              <w:spacing w:after="0"/>
              <w:jc w:val="right"/>
              <w:rPr>
                <w:rFonts w:cs="Arial"/>
                <w:b/>
                <w:bCs/>
                <w:color w:val="auto"/>
                <w:sz w:val="22"/>
                <w:szCs w:val="22"/>
              </w:rPr>
            </w:pPr>
            <w:r w:rsidRPr="00D665B3">
              <w:rPr>
                <w:rFonts w:cs="Arial"/>
                <w:b/>
                <w:bCs/>
                <w:color w:val="auto"/>
                <w:sz w:val="22"/>
                <w:szCs w:val="22"/>
              </w:rPr>
              <w:t>198,528</w:t>
            </w:r>
          </w:p>
        </w:tc>
      </w:tr>
      <w:tr w:rsidR="00D665B3" w:rsidRPr="00D665B3" w:rsidTr="00D665B3">
        <w:trPr>
          <w:trHeight w:val="285"/>
        </w:trPr>
        <w:tc>
          <w:tcPr>
            <w:tcW w:w="2840" w:type="dxa"/>
            <w:tcBorders>
              <w:top w:val="nil"/>
              <w:left w:val="single" w:sz="4" w:space="0" w:color="auto"/>
              <w:bottom w:val="nil"/>
              <w:right w:val="nil"/>
            </w:tcBorders>
            <w:shd w:val="clear" w:color="auto" w:fill="auto"/>
            <w:noWrap/>
            <w:vAlign w:val="bottom"/>
            <w:hideMark/>
          </w:tcPr>
          <w:p w:rsidR="00D665B3" w:rsidRPr="00D665B3" w:rsidRDefault="00D665B3" w:rsidP="00D665B3">
            <w:pPr>
              <w:spacing w:after="0"/>
              <w:rPr>
                <w:rFonts w:cs="Arial"/>
                <w:color w:val="auto"/>
                <w:sz w:val="22"/>
                <w:szCs w:val="22"/>
              </w:rPr>
            </w:pPr>
            <w:r w:rsidRPr="00D665B3">
              <w:rPr>
                <w:rFonts w:cs="Arial"/>
                <w:color w:val="auto"/>
                <w:sz w:val="22"/>
                <w:szCs w:val="22"/>
              </w:rPr>
              <w:t> </w:t>
            </w:r>
          </w:p>
        </w:tc>
        <w:tc>
          <w:tcPr>
            <w:tcW w:w="1276" w:type="dxa"/>
            <w:tcBorders>
              <w:top w:val="nil"/>
              <w:left w:val="single" w:sz="4" w:space="0" w:color="auto"/>
              <w:bottom w:val="nil"/>
              <w:right w:val="nil"/>
            </w:tcBorders>
            <w:shd w:val="clear" w:color="auto" w:fill="auto"/>
            <w:noWrap/>
            <w:vAlign w:val="bottom"/>
          </w:tcPr>
          <w:p w:rsidR="00D665B3" w:rsidRPr="00D665B3" w:rsidRDefault="00D665B3" w:rsidP="00D665B3">
            <w:pPr>
              <w:spacing w:after="0"/>
              <w:rPr>
                <w:rFonts w:cs="Arial"/>
                <w:color w:val="auto"/>
                <w:sz w:val="22"/>
                <w:szCs w:val="22"/>
              </w:rPr>
            </w:pPr>
          </w:p>
        </w:tc>
        <w:tc>
          <w:tcPr>
            <w:tcW w:w="1276" w:type="dxa"/>
            <w:tcBorders>
              <w:top w:val="nil"/>
              <w:left w:val="nil"/>
              <w:bottom w:val="nil"/>
              <w:right w:val="single" w:sz="4" w:space="0" w:color="auto"/>
            </w:tcBorders>
            <w:shd w:val="clear" w:color="auto" w:fill="auto"/>
            <w:noWrap/>
            <w:vAlign w:val="bottom"/>
          </w:tcPr>
          <w:p w:rsidR="00D665B3" w:rsidRPr="00D665B3" w:rsidRDefault="00D665B3" w:rsidP="00D665B3">
            <w:pPr>
              <w:spacing w:after="0"/>
              <w:rPr>
                <w:rFonts w:cs="Arial"/>
                <w:color w:val="auto"/>
                <w:sz w:val="22"/>
                <w:szCs w:val="22"/>
              </w:rPr>
            </w:pPr>
          </w:p>
        </w:tc>
        <w:tc>
          <w:tcPr>
            <w:tcW w:w="1276" w:type="dxa"/>
            <w:tcBorders>
              <w:top w:val="nil"/>
              <w:left w:val="nil"/>
              <w:bottom w:val="nil"/>
              <w:right w:val="nil"/>
            </w:tcBorders>
            <w:shd w:val="clear" w:color="auto" w:fill="auto"/>
            <w:noWrap/>
            <w:vAlign w:val="bottom"/>
          </w:tcPr>
          <w:p w:rsidR="00D665B3" w:rsidRPr="00D665B3" w:rsidRDefault="00D665B3" w:rsidP="00D665B3">
            <w:pPr>
              <w:spacing w:after="0"/>
              <w:rPr>
                <w:rFonts w:cs="Arial"/>
                <w:color w:val="auto"/>
                <w:sz w:val="22"/>
                <w:szCs w:val="22"/>
              </w:rPr>
            </w:pPr>
          </w:p>
        </w:tc>
        <w:tc>
          <w:tcPr>
            <w:tcW w:w="1275" w:type="dxa"/>
            <w:tcBorders>
              <w:top w:val="nil"/>
              <w:left w:val="nil"/>
              <w:bottom w:val="nil"/>
              <w:right w:val="single" w:sz="4" w:space="0" w:color="auto"/>
            </w:tcBorders>
            <w:shd w:val="clear" w:color="auto" w:fill="auto"/>
            <w:noWrap/>
            <w:vAlign w:val="bottom"/>
          </w:tcPr>
          <w:p w:rsidR="00D665B3" w:rsidRPr="00D665B3" w:rsidRDefault="00D665B3" w:rsidP="00D665B3">
            <w:pPr>
              <w:spacing w:after="0"/>
              <w:rPr>
                <w:rFonts w:cs="Arial"/>
                <w:color w:val="auto"/>
                <w:sz w:val="22"/>
                <w:szCs w:val="22"/>
              </w:rPr>
            </w:pPr>
          </w:p>
        </w:tc>
      </w:tr>
      <w:tr w:rsidR="00D665B3" w:rsidRPr="00D665B3" w:rsidTr="00D665B3">
        <w:trPr>
          <w:trHeight w:val="300"/>
        </w:trPr>
        <w:tc>
          <w:tcPr>
            <w:tcW w:w="2840" w:type="dxa"/>
            <w:tcBorders>
              <w:top w:val="nil"/>
              <w:left w:val="single" w:sz="4" w:space="0" w:color="auto"/>
              <w:bottom w:val="single" w:sz="4" w:space="0" w:color="auto"/>
              <w:right w:val="nil"/>
            </w:tcBorders>
            <w:shd w:val="clear" w:color="auto" w:fill="auto"/>
            <w:noWrap/>
            <w:vAlign w:val="bottom"/>
            <w:hideMark/>
          </w:tcPr>
          <w:p w:rsidR="00D665B3" w:rsidRPr="00D665B3" w:rsidRDefault="00D665B3" w:rsidP="00D665B3">
            <w:pPr>
              <w:spacing w:after="0"/>
              <w:rPr>
                <w:rFonts w:cs="Arial"/>
                <w:b/>
                <w:bCs/>
                <w:color w:val="auto"/>
                <w:sz w:val="22"/>
                <w:szCs w:val="22"/>
              </w:rPr>
            </w:pPr>
            <w:r w:rsidRPr="00D665B3">
              <w:rPr>
                <w:rFonts w:cs="Arial"/>
                <w:b/>
                <w:bCs/>
                <w:color w:val="auto"/>
                <w:sz w:val="22"/>
                <w:szCs w:val="22"/>
              </w:rPr>
              <w:t>Amount under Limit</w:t>
            </w:r>
          </w:p>
        </w:tc>
        <w:tc>
          <w:tcPr>
            <w:tcW w:w="2552" w:type="dxa"/>
            <w:gridSpan w:val="2"/>
            <w:tcBorders>
              <w:top w:val="nil"/>
              <w:left w:val="single" w:sz="4" w:space="0" w:color="auto"/>
              <w:bottom w:val="single" w:sz="4" w:space="0" w:color="auto"/>
              <w:right w:val="single" w:sz="4" w:space="0" w:color="000000"/>
            </w:tcBorders>
            <w:shd w:val="clear" w:color="auto" w:fill="auto"/>
            <w:noWrap/>
            <w:vAlign w:val="bottom"/>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47,577</w:t>
            </w:r>
          </w:p>
        </w:tc>
        <w:tc>
          <w:tcPr>
            <w:tcW w:w="2551" w:type="dxa"/>
            <w:gridSpan w:val="2"/>
            <w:tcBorders>
              <w:top w:val="nil"/>
              <w:left w:val="nil"/>
              <w:bottom w:val="single" w:sz="4" w:space="0" w:color="auto"/>
              <w:right w:val="single" w:sz="4" w:space="0" w:color="000000"/>
            </w:tcBorders>
            <w:shd w:val="clear" w:color="auto" w:fill="auto"/>
            <w:noWrap/>
            <w:vAlign w:val="bottom"/>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49,038</w:t>
            </w:r>
          </w:p>
        </w:tc>
      </w:tr>
    </w:tbl>
    <w:p w:rsidR="00D665B3" w:rsidRPr="00D665B3" w:rsidRDefault="00D665B3" w:rsidP="00D665B3">
      <w:pPr>
        <w:pStyle w:val="bParagraphtext"/>
        <w:numPr>
          <w:ilvl w:val="0"/>
          <w:numId w:val="0"/>
        </w:numPr>
        <w:spacing w:after="0"/>
        <w:ind w:left="425"/>
      </w:pPr>
    </w:p>
    <w:p w:rsidR="00100D19" w:rsidRDefault="00D665B3" w:rsidP="00100D19">
      <w:pPr>
        <w:pStyle w:val="bParagraphtext"/>
      </w:pPr>
      <w:r w:rsidRPr="00D665B3">
        <w:rPr>
          <w:b/>
          <w:i/>
        </w:rPr>
        <w:t>The Operational Boundary Limit</w:t>
      </w:r>
      <w:r w:rsidRPr="00D665B3">
        <w:t xml:space="preserve"> – the Operational Boundary Limit is the expected borrowing position of the Council during the year.  It is possible to exceed the Operational Boundary </w:t>
      </w:r>
      <w:r w:rsidR="007D2192">
        <w:t>L</w:t>
      </w:r>
      <w:r w:rsidRPr="00D665B3">
        <w:t>imit, for a short period of time, providing that the Authorised Borrowing Limit is not breached.  Table 6 below shows the limits for the last two financial years.  They were not breached during either period.</w:t>
      </w:r>
    </w:p>
    <w:p w:rsidR="00890146" w:rsidRPr="00D665B3" w:rsidRDefault="00890146" w:rsidP="00EA1ADC">
      <w:pPr>
        <w:pStyle w:val="bParagraphtext"/>
        <w:numPr>
          <w:ilvl w:val="0"/>
          <w:numId w:val="0"/>
        </w:numPr>
        <w:spacing w:after="0"/>
      </w:pPr>
    </w:p>
    <w:p w:rsidR="00D665B3" w:rsidRPr="00D665B3" w:rsidRDefault="00D665B3" w:rsidP="00D665B3">
      <w:pPr>
        <w:spacing w:after="0"/>
        <w:ind w:left="360"/>
        <w:rPr>
          <w:b/>
          <w:color w:val="auto"/>
          <w:lang w:eastAsia="en-US"/>
        </w:rPr>
      </w:pPr>
      <w:r w:rsidRPr="00D665B3">
        <w:rPr>
          <w:b/>
          <w:color w:val="auto"/>
          <w:lang w:eastAsia="en-US"/>
        </w:rPr>
        <w:t>Table 6</w:t>
      </w:r>
    </w:p>
    <w:tbl>
      <w:tblPr>
        <w:tblW w:w="6300" w:type="dxa"/>
        <w:tblInd w:w="720" w:type="dxa"/>
        <w:tblLook w:val="04A0" w:firstRow="1" w:lastRow="0" w:firstColumn="1" w:lastColumn="0" w:noHBand="0" w:noVBand="1"/>
      </w:tblPr>
      <w:tblGrid>
        <w:gridCol w:w="3220"/>
        <w:gridCol w:w="1540"/>
        <w:gridCol w:w="1540"/>
      </w:tblGrid>
      <w:tr w:rsidR="00D665B3" w:rsidRPr="00D665B3" w:rsidTr="00D665B3">
        <w:trPr>
          <w:trHeight w:val="600"/>
        </w:trPr>
        <w:tc>
          <w:tcPr>
            <w:tcW w:w="3220" w:type="dxa"/>
            <w:tcBorders>
              <w:top w:val="single" w:sz="4" w:space="0" w:color="auto"/>
              <w:left w:val="single" w:sz="4" w:space="0" w:color="auto"/>
              <w:bottom w:val="nil"/>
              <w:right w:val="nil"/>
            </w:tcBorders>
            <w:shd w:val="clear" w:color="000000" w:fill="D9D9D9"/>
            <w:noWrap/>
            <w:vAlign w:val="bottom"/>
            <w:hideMark/>
          </w:tcPr>
          <w:p w:rsidR="00D665B3" w:rsidRPr="00D665B3" w:rsidRDefault="00D665B3" w:rsidP="00D665B3">
            <w:pPr>
              <w:spacing w:after="0"/>
              <w:rPr>
                <w:rFonts w:cs="Arial"/>
                <w:b/>
                <w:bCs/>
                <w:color w:val="auto"/>
                <w:sz w:val="22"/>
                <w:szCs w:val="22"/>
              </w:rPr>
            </w:pPr>
            <w:r w:rsidRPr="00D665B3">
              <w:rPr>
                <w:rFonts w:cs="Arial"/>
                <w:b/>
                <w:bCs/>
                <w:color w:val="auto"/>
                <w:sz w:val="22"/>
                <w:szCs w:val="22"/>
              </w:rPr>
              <w:t>Operational Boundaries</w:t>
            </w:r>
          </w:p>
        </w:tc>
        <w:tc>
          <w:tcPr>
            <w:tcW w:w="1540" w:type="dxa"/>
            <w:tcBorders>
              <w:top w:val="single" w:sz="4" w:space="0" w:color="auto"/>
              <w:left w:val="single" w:sz="4" w:space="0" w:color="auto"/>
              <w:bottom w:val="nil"/>
              <w:right w:val="nil"/>
            </w:tcBorders>
            <w:shd w:val="clear" w:color="000000" w:fill="D9D9D9"/>
            <w:vAlign w:val="bottom"/>
            <w:hideMark/>
          </w:tcPr>
          <w:p w:rsidR="00D665B3" w:rsidRPr="00D665B3" w:rsidRDefault="00EA1ADC" w:rsidP="00D665B3">
            <w:pPr>
              <w:spacing w:after="0"/>
              <w:jc w:val="center"/>
              <w:rPr>
                <w:rFonts w:cs="Arial"/>
                <w:b/>
                <w:bCs/>
                <w:color w:val="auto"/>
                <w:sz w:val="22"/>
                <w:szCs w:val="22"/>
              </w:rPr>
            </w:pPr>
            <w:r>
              <w:rPr>
                <w:rFonts w:cs="Arial"/>
                <w:b/>
                <w:bCs/>
                <w:color w:val="auto"/>
                <w:sz w:val="22"/>
                <w:szCs w:val="22"/>
              </w:rPr>
              <w:t>31</w:t>
            </w:r>
            <w:r w:rsidR="00D665B3" w:rsidRPr="00D665B3">
              <w:rPr>
                <w:rFonts w:cs="Arial"/>
                <w:b/>
                <w:bCs/>
                <w:color w:val="auto"/>
                <w:sz w:val="22"/>
                <w:szCs w:val="22"/>
              </w:rPr>
              <w:t xml:space="preserve"> March 2015</w:t>
            </w:r>
          </w:p>
        </w:tc>
        <w:tc>
          <w:tcPr>
            <w:tcW w:w="1540" w:type="dxa"/>
            <w:tcBorders>
              <w:top w:val="single" w:sz="4" w:space="0" w:color="auto"/>
              <w:left w:val="single" w:sz="4" w:space="0" w:color="auto"/>
              <w:bottom w:val="nil"/>
              <w:right w:val="single" w:sz="4" w:space="0" w:color="auto"/>
            </w:tcBorders>
            <w:shd w:val="clear" w:color="000000" w:fill="D9D9D9"/>
            <w:vAlign w:val="bottom"/>
            <w:hideMark/>
          </w:tcPr>
          <w:p w:rsidR="00D665B3" w:rsidRPr="00D665B3" w:rsidRDefault="00EA1ADC" w:rsidP="00D665B3">
            <w:pPr>
              <w:spacing w:after="0"/>
              <w:jc w:val="center"/>
              <w:rPr>
                <w:rFonts w:cs="Arial"/>
                <w:b/>
                <w:bCs/>
                <w:color w:val="auto"/>
                <w:sz w:val="22"/>
                <w:szCs w:val="22"/>
              </w:rPr>
            </w:pPr>
            <w:r>
              <w:rPr>
                <w:rFonts w:cs="Arial"/>
                <w:b/>
                <w:bCs/>
                <w:color w:val="auto"/>
                <w:sz w:val="22"/>
                <w:szCs w:val="22"/>
              </w:rPr>
              <w:t>31</w:t>
            </w:r>
            <w:r w:rsidR="00D665B3" w:rsidRPr="00D665B3">
              <w:rPr>
                <w:rFonts w:cs="Arial"/>
                <w:b/>
                <w:bCs/>
                <w:color w:val="auto"/>
                <w:sz w:val="22"/>
                <w:szCs w:val="22"/>
              </w:rPr>
              <w:t xml:space="preserve"> March 2016</w:t>
            </w:r>
          </w:p>
        </w:tc>
      </w:tr>
      <w:tr w:rsidR="00D665B3" w:rsidRPr="00D665B3" w:rsidTr="00D665B3">
        <w:trPr>
          <w:trHeight w:val="300"/>
        </w:trPr>
        <w:tc>
          <w:tcPr>
            <w:tcW w:w="3220" w:type="dxa"/>
            <w:tcBorders>
              <w:top w:val="nil"/>
              <w:left w:val="single" w:sz="4" w:space="0" w:color="auto"/>
              <w:bottom w:val="single" w:sz="4" w:space="0" w:color="auto"/>
              <w:right w:val="nil"/>
            </w:tcBorders>
            <w:shd w:val="clear" w:color="000000" w:fill="D9D9D9"/>
            <w:noWrap/>
            <w:vAlign w:val="bottom"/>
            <w:hideMark/>
          </w:tcPr>
          <w:p w:rsidR="00D665B3" w:rsidRPr="00D665B3" w:rsidRDefault="00D665B3" w:rsidP="00D665B3">
            <w:pPr>
              <w:spacing w:after="0"/>
              <w:rPr>
                <w:rFonts w:cs="Arial"/>
                <w:color w:val="auto"/>
                <w:sz w:val="22"/>
                <w:szCs w:val="22"/>
              </w:rPr>
            </w:pPr>
            <w:r w:rsidRPr="00D665B3">
              <w:rPr>
                <w:rFonts w:cs="Arial"/>
                <w:color w:val="auto"/>
                <w:sz w:val="22"/>
                <w:szCs w:val="22"/>
              </w:rPr>
              <w:t> </w:t>
            </w:r>
          </w:p>
        </w:tc>
        <w:tc>
          <w:tcPr>
            <w:tcW w:w="1540" w:type="dxa"/>
            <w:tcBorders>
              <w:top w:val="nil"/>
              <w:left w:val="single" w:sz="4" w:space="0" w:color="auto"/>
              <w:bottom w:val="single" w:sz="4" w:space="0" w:color="auto"/>
              <w:right w:val="nil"/>
            </w:tcBorders>
            <w:shd w:val="clear" w:color="000000" w:fill="D9D9D9"/>
            <w:noWrap/>
            <w:vAlign w:val="bottom"/>
            <w:hideMark/>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£'000</w:t>
            </w:r>
          </w:p>
        </w:tc>
        <w:tc>
          <w:tcPr>
            <w:tcW w:w="1540" w:type="dxa"/>
            <w:tcBorders>
              <w:top w:val="nil"/>
              <w:left w:val="single" w:sz="4" w:space="0" w:color="auto"/>
              <w:bottom w:val="single" w:sz="4" w:space="0" w:color="auto"/>
              <w:right w:val="single" w:sz="4" w:space="0" w:color="auto"/>
            </w:tcBorders>
            <w:shd w:val="clear" w:color="000000" w:fill="D9D9D9"/>
            <w:noWrap/>
            <w:vAlign w:val="bottom"/>
            <w:hideMark/>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£'000</w:t>
            </w:r>
          </w:p>
        </w:tc>
      </w:tr>
      <w:tr w:rsidR="00D665B3" w:rsidRPr="00D665B3" w:rsidTr="00D665B3">
        <w:trPr>
          <w:trHeight w:val="285"/>
        </w:trPr>
        <w:tc>
          <w:tcPr>
            <w:tcW w:w="3220" w:type="dxa"/>
            <w:tcBorders>
              <w:top w:val="single" w:sz="4" w:space="0" w:color="auto"/>
              <w:left w:val="single" w:sz="4" w:space="0" w:color="auto"/>
              <w:bottom w:val="nil"/>
              <w:right w:val="nil"/>
            </w:tcBorders>
            <w:shd w:val="clear" w:color="auto" w:fill="auto"/>
            <w:noWrap/>
            <w:vAlign w:val="bottom"/>
            <w:hideMark/>
          </w:tcPr>
          <w:p w:rsidR="00D665B3" w:rsidRPr="00D665B3" w:rsidRDefault="00D665B3" w:rsidP="00D665B3">
            <w:pPr>
              <w:spacing w:after="0"/>
              <w:rPr>
                <w:rFonts w:cs="Arial"/>
                <w:color w:val="auto"/>
                <w:sz w:val="22"/>
                <w:szCs w:val="22"/>
              </w:rPr>
            </w:pPr>
            <w:r w:rsidRPr="00D665B3">
              <w:rPr>
                <w:rFonts w:cs="Arial"/>
                <w:color w:val="auto"/>
                <w:sz w:val="22"/>
                <w:szCs w:val="22"/>
              </w:rPr>
              <w:t>Borrowing</w:t>
            </w:r>
          </w:p>
        </w:tc>
        <w:tc>
          <w:tcPr>
            <w:tcW w:w="1540" w:type="dxa"/>
            <w:tcBorders>
              <w:top w:val="single" w:sz="4" w:space="0" w:color="auto"/>
              <w:left w:val="single" w:sz="4" w:space="0" w:color="auto"/>
              <w:bottom w:val="nil"/>
              <w:right w:val="nil"/>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236,000</w:t>
            </w:r>
          </w:p>
        </w:tc>
        <w:tc>
          <w:tcPr>
            <w:tcW w:w="1540" w:type="dxa"/>
            <w:tcBorders>
              <w:top w:val="nil"/>
              <w:left w:val="single" w:sz="4" w:space="0" w:color="auto"/>
              <w:bottom w:val="nil"/>
              <w:right w:val="single" w:sz="4" w:space="0" w:color="auto"/>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234,000</w:t>
            </w:r>
          </w:p>
        </w:tc>
      </w:tr>
      <w:tr w:rsidR="00D665B3" w:rsidRPr="00D665B3" w:rsidTr="00D665B3">
        <w:trPr>
          <w:trHeight w:val="285"/>
        </w:trPr>
        <w:tc>
          <w:tcPr>
            <w:tcW w:w="3220" w:type="dxa"/>
            <w:tcBorders>
              <w:top w:val="nil"/>
              <w:left w:val="single" w:sz="4" w:space="0" w:color="auto"/>
              <w:bottom w:val="nil"/>
              <w:right w:val="nil"/>
            </w:tcBorders>
            <w:shd w:val="clear" w:color="auto" w:fill="auto"/>
            <w:noWrap/>
            <w:vAlign w:val="bottom"/>
            <w:hideMark/>
          </w:tcPr>
          <w:p w:rsidR="00D665B3" w:rsidRPr="00D665B3" w:rsidRDefault="00D665B3" w:rsidP="00D665B3">
            <w:pPr>
              <w:spacing w:after="0"/>
              <w:rPr>
                <w:rFonts w:cs="Arial"/>
                <w:color w:val="auto"/>
                <w:sz w:val="22"/>
                <w:szCs w:val="22"/>
              </w:rPr>
            </w:pPr>
            <w:r w:rsidRPr="00D665B3">
              <w:rPr>
                <w:rFonts w:cs="Arial"/>
                <w:color w:val="auto"/>
                <w:sz w:val="22"/>
                <w:szCs w:val="22"/>
              </w:rPr>
              <w:t>Other Long Term Liabilities</w:t>
            </w:r>
          </w:p>
        </w:tc>
        <w:tc>
          <w:tcPr>
            <w:tcW w:w="1540" w:type="dxa"/>
            <w:tcBorders>
              <w:top w:val="nil"/>
              <w:left w:val="single" w:sz="4" w:space="0" w:color="auto"/>
              <w:bottom w:val="nil"/>
              <w:right w:val="nil"/>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0</w:t>
            </w:r>
          </w:p>
        </w:tc>
        <w:tc>
          <w:tcPr>
            <w:tcW w:w="1540" w:type="dxa"/>
            <w:tcBorders>
              <w:top w:val="nil"/>
              <w:left w:val="single" w:sz="4" w:space="0" w:color="auto"/>
              <w:bottom w:val="nil"/>
              <w:right w:val="single" w:sz="4" w:space="0" w:color="auto"/>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0</w:t>
            </w:r>
          </w:p>
        </w:tc>
      </w:tr>
      <w:tr w:rsidR="00D665B3" w:rsidRPr="00D665B3" w:rsidTr="00D665B3">
        <w:trPr>
          <w:trHeight w:val="300"/>
        </w:trPr>
        <w:tc>
          <w:tcPr>
            <w:tcW w:w="3220" w:type="dxa"/>
            <w:tcBorders>
              <w:top w:val="nil"/>
              <w:left w:val="single" w:sz="4" w:space="0" w:color="auto"/>
              <w:bottom w:val="single" w:sz="4" w:space="0" w:color="auto"/>
              <w:right w:val="nil"/>
            </w:tcBorders>
            <w:shd w:val="clear" w:color="auto" w:fill="auto"/>
            <w:noWrap/>
            <w:vAlign w:val="bottom"/>
            <w:hideMark/>
          </w:tcPr>
          <w:p w:rsidR="00D665B3" w:rsidRPr="00D665B3" w:rsidRDefault="00D665B3" w:rsidP="00D665B3">
            <w:pPr>
              <w:spacing w:after="0"/>
              <w:rPr>
                <w:rFonts w:cs="Arial"/>
                <w:b/>
                <w:bCs/>
                <w:color w:val="auto"/>
                <w:sz w:val="22"/>
                <w:szCs w:val="22"/>
              </w:rPr>
            </w:pPr>
            <w:r w:rsidRPr="00D665B3">
              <w:rPr>
                <w:rFonts w:cs="Arial"/>
                <w:b/>
                <w:bCs/>
                <w:color w:val="auto"/>
                <w:sz w:val="22"/>
                <w:szCs w:val="22"/>
              </w:rPr>
              <w:t>Totals</w:t>
            </w:r>
          </w:p>
        </w:tc>
        <w:tc>
          <w:tcPr>
            <w:tcW w:w="1540" w:type="dxa"/>
            <w:tcBorders>
              <w:top w:val="nil"/>
              <w:left w:val="single" w:sz="4" w:space="0" w:color="auto"/>
              <w:bottom w:val="single" w:sz="4" w:space="0" w:color="auto"/>
              <w:right w:val="nil"/>
            </w:tcBorders>
            <w:shd w:val="clear" w:color="auto" w:fill="auto"/>
            <w:noWrap/>
            <w:vAlign w:val="bottom"/>
          </w:tcPr>
          <w:p w:rsidR="00D665B3" w:rsidRPr="00D665B3" w:rsidRDefault="00D665B3" w:rsidP="00D665B3">
            <w:pPr>
              <w:spacing w:after="0"/>
              <w:jc w:val="right"/>
              <w:rPr>
                <w:rFonts w:cs="Arial"/>
                <w:b/>
                <w:bCs/>
                <w:color w:val="auto"/>
                <w:sz w:val="22"/>
                <w:szCs w:val="22"/>
              </w:rPr>
            </w:pPr>
            <w:r w:rsidRPr="00D665B3">
              <w:rPr>
                <w:rFonts w:cs="Arial"/>
                <w:b/>
                <w:bCs/>
                <w:color w:val="auto"/>
                <w:sz w:val="22"/>
                <w:szCs w:val="22"/>
              </w:rPr>
              <w:t>236,000</w:t>
            </w:r>
          </w:p>
        </w:tc>
        <w:tc>
          <w:tcPr>
            <w:tcW w:w="1540" w:type="dxa"/>
            <w:tcBorders>
              <w:top w:val="nil"/>
              <w:left w:val="single" w:sz="4" w:space="0" w:color="auto"/>
              <w:bottom w:val="single" w:sz="4" w:space="0" w:color="auto"/>
              <w:right w:val="single" w:sz="4" w:space="0" w:color="auto"/>
            </w:tcBorders>
            <w:shd w:val="clear" w:color="auto" w:fill="auto"/>
            <w:noWrap/>
            <w:vAlign w:val="bottom"/>
          </w:tcPr>
          <w:p w:rsidR="00D665B3" w:rsidRPr="00D665B3" w:rsidRDefault="00D665B3" w:rsidP="00D665B3">
            <w:pPr>
              <w:spacing w:after="0"/>
              <w:jc w:val="right"/>
              <w:rPr>
                <w:rFonts w:cs="Arial"/>
                <w:b/>
                <w:bCs/>
                <w:color w:val="auto"/>
                <w:sz w:val="22"/>
                <w:szCs w:val="22"/>
              </w:rPr>
            </w:pPr>
            <w:r w:rsidRPr="00D665B3">
              <w:rPr>
                <w:rFonts w:cs="Arial"/>
                <w:b/>
                <w:bCs/>
                <w:color w:val="auto"/>
                <w:sz w:val="22"/>
                <w:szCs w:val="22"/>
              </w:rPr>
              <w:t>234,000</w:t>
            </w:r>
          </w:p>
        </w:tc>
      </w:tr>
    </w:tbl>
    <w:p w:rsidR="00D665B3" w:rsidRPr="00D665B3" w:rsidRDefault="00D665B3" w:rsidP="00D665B3">
      <w:pPr>
        <w:pStyle w:val="bParagraphtext"/>
        <w:numPr>
          <w:ilvl w:val="0"/>
          <w:numId w:val="0"/>
        </w:numPr>
        <w:spacing w:after="0"/>
        <w:ind w:left="425"/>
      </w:pPr>
    </w:p>
    <w:p w:rsidR="00D665B3" w:rsidRDefault="00D665B3" w:rsidP="00100D19">
      <w:pPr>
        <w:pStyle w:val="bParagraphtext"/>
      </w:pPr>
      <w:r w:rsidRPr="00D665B3">
        <w:rPr>
          <w:b/>
          <w:i/>
        </w:rPr>
        <w:t>Actual financing costs as a proportion of net revenue stream</w:t>
      </w:r>
      <w:r w:rsidRPr="00D665B3">
        <w:t xml:space="preserve"> – this indicator identifies the trend in the net cost of capital against the net revenue stream and is an indicator of affordability.  Table 7 below shows that for the General Fund, the ratio is negative as</w:t>
      </w:r>
      <w:r w:rsidR="00025838">
        <w:t xml:space="preserve"> external </w:t>
      </w:r>
      <w:r w:rsidRPr="00D665B3">
        <w:t xml:space="preserve">loans have been repaid and investment income is positive.  The HRA ratio has improved slightly due to </w:t>
      </w:r>
      <w:r w:rsidR="003948AC">
        <w:t xml:space="preserve">an increasing income stream meaning that </w:t>
      </w:r>
      <w:r w:rsidR="00062FC9">
        <w:t xml:space="preserve">financing </w:t>
      </w:r>
      <w:r w:rsidR="003948AC">
        <w:t>costs as a proportion have fallen.</w:t>
      </w:r>
    </w:p>
    <w:p w:rsidR="00D665B3" w:rsidRDefault="00D665B3" w:rsidP="00D665B3">
      <w:pPr>
        <w:pStyle w:val="bParagraphtext"/>
        <w:numPr>
          <w:ilvl w:val="0"/>
          <w:numId w:val="0"/>
        </w:numPr>
        <w:spacing w:after="0"/>
        <w:ind w:left="425"/>
      </w:pPr>
    </w:p>
    <w:p w:rsidR="00D665B3" w:rsidRPr="00D665B3" w:rsidRDefault="00D665B3" w:rsidP="00D665B3">
      <w:pPr>
        <w:spacing w:after="0"/>
        <w:ind w:left="360"/>
        <w:rPr>
          <w:b/>
          <w:color w:val="auto"/>
          <w:lang w:eastAsia="en-US"/>
        </w:rPr>
      </w:pPr>
      <w:r w:rsidRPr="00D665B3">
        <w:rPr>
          <w:b/>
          <w:color w:val="auto"/>
          <w:lang w:eastAsia="en-US"/>
        </w:rPr>
        <w:t>Table 7</w:t>
      </w:r>
    </w:p>
    <w:tbl>
      <w:tblPr>
        <w:tblW w:w="8620" w:type="dxa"/>
        <w:tblInd w:w="103" w:type="dxa"/>
        <w:tblLook w:val="04A0" w:firstRow="1" w:lastRow="0" w:firstColumn="1" w:lastColumn="0" w:noHBand="0" w:noVBand="1"/>
      </w:tblPr>
      <w:tblGrid>
        <w:gridCol w:w="5540"/>
        <w:gridCol w:w="1540"/>
        <w:gridCol w:w="1540"/>
      </w:tblGrid>
      <w:tr w:rsidR="00D665B3" w:rsidRPr="00D665B3" w:rsidTr="00D665B3">
        <w:trPr>
          <w:trHeight w:val="300"/>
        </w:trPr>
        <w:tc>
          <w:tcPr>
            <w:tcW w:w="5540" w:type="dxa"/>
            <w:tcBorders>
              <w:top w:val="single" w:sz="4" w:space="0" w:color="auto"/>
              <w:left w:val="single" w:sz="4" w:space="0" w:color="auto"/>
              <w:bottom w:val="nil"/>
              <w:right w:val="single" w:sz="4" w:space="0" w:color="auto"/>
            </w:tcBorders>
            <w:shd w:val="clear" w:color="000000" w:fill="D9D9D9"/>
            <w:noWrap/>
            <w:vAlign w:val="bottom"/>
            <w:hideMark/>
          </w:tcPr>
          <w:p w:rsidR="00D665B3" w:rsidRPr="00D665B3" w:rsidRDefault="00D665B3" w:rsidP="00D665B3">
            <w:pPr>
              <w:spacing w:after="0"/>
              <w:rPr>
                <w:rFonts w:cs="Arial"/>
                <w:b/>
                <w:bCs/>
                <w:color w:val="auto"/>
                <w:sz w:val="22"/>
                <w:szCs w:val="22"/>
              </w:rPr>
            </w:pPr>
            <w:r w:rsidRPr="00D665B3">
              <w:rPr>
                <w:rFonts w:cs="Arial"/>
                <w:b/>
                <w:bCs/>
                <w:color w:val="auto"/>
                <w:sz w:val="22"/>
                <w:szCs w:val="22"/>
              </w:rPr>
              <w:t>Actual Finance Costs</w:t>
            </w:r>
          </w:p>
        </w:tc>
        <w:tc>
          <w:tcPr>
            <w:tcW w:w="1540" w:type="dxa"/>
            <w:tcBorders>
              <w:top w:val="single" w:sz="4" w:space="0" w:color="auto"/>
              <w:left w:val="nil"/>
              <w:bottom w:val="nil"/>
              <w:right w:val="nil"/>
            </w:tcBorders>
            <w:shd w:val="clear" w:color="000000" w:fill="D9D9D9"/>
            <w:noWrap/>
            <w:vAlign w:val="bottom"/>
            <w:hideMark/>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2014/15</w:t>
            </w:r>
          </w:p>
        </w:tc>
        <w:tc>
          <w:tcPr>
            <w:tcW w:w="1540" w:type="dxa"/>
            <w:tcBorders>
              <w:top w:val="single" w:sz="4" w:space="0" w:color="auto"/>
              <w:left w:val="nil"/>
              <w:bottom w:val="nil"/>
              <w:right w:val="single" w:sz="4" w:space="0" w:color="auto"/>
            </w:tcBorders>
            <w:shd w:val="clear" w:color="000000" w:fill="D9D9D9"/>
            <w:noWrap/>
            <w:vAlign w:val="bottom"/>
            <w:hideMark/>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2015/16</w:t>
            </w:r>
          </w:p>
        </w:tc>
      </w:tr>
      <w:tr w:rsidR="00D665B3" w:rsidRPr="00D665B3" w:rsidTr="00D665B3">
        <w:trPr>
          <w:trHeight w:val="300"/>
        </w:trPr>
        <w:tc>
          <w:tcPr>
            <w:tcW w:w="5540" w:type="dxa"/>
            <w:tcBorders>
              <w:top w:val="nil"/>
              <w:left w:val="single" w:sz="4" w:space="0" w:color="auto"/>
              <w:bottom w:val="single" w:sz="4" w:space="0" w:color="auto"/>
              <w:right w:val="single" w:sz="4" w:space="0" w:color="auto"/>
            </w:tcBorders>
            <w:shd w:val="clear" w:color="000000" w:fill="D9D9D9"/>
            <w:noWrap/>
            <w:vAlign w:val="bottom"/>
            <w:hideMark/>
          </w:tcPr>
          <w:p w:rsidR="00D665B3" w:rsidRPr="00D665B3" w:rsidRDefault="00D665B3" w:rsidP="00D665B3">
            <w:pPr>
              <w:spacing w:after="0"/>
              <w:rPr>
                <w:rFonts w:cs="Arial"/>
                <w:color w:val="auto"/>
                <w:sz w:val="22"/>
                <w:szCs w:val="22"/>
              </w:rPr>
            </w:pPr>
            <w:r w:rsidRPr="00D665B3">
              <w:rPr>
                <w:rFonts w:cs="Arial"/>
                <w:color w:val="auto"/>
                <w:sz w:val="22"/>
                <w:szCs w:val="22"/>
              </w:rPr>
              <w:t> </w:t>
            </w:r>
          </w:p>
        </w:tc>
        <w:tc>
          <w:tcPr>
            <w:tcW w:w="1540" w:type="dxa"/>
            <w:tcBorders>
              <w:top w:val="nil"/>
              <w:left w:val="nil"/>
              <w:bottom w:val="single" w:sz="4" w:space="0" w:color="auto"/>
              <w:right w:val="nil"/>
            </w:tcBorders>
            <w:shd w:val="clear" w:color="000000" w:fill="D9D9D9"/>
            <w:noWrap/>
            <w:vAlign w:val="bottom"/>
            <w:hideMark/>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£'000</w:t>
            </w:r>
          </w:p>
        </w:tc>
        <w:tc>
          <w:tcPr>
            <w:tcW w:w="1540" w:type="dxa"/>
            <w:tcBorders>
              <w:top w:val="nil"/>
              <w:left w:val="nil"/>
              <w:bottom w:val="single" w:sz="4" w:space="0" w:color="auto"/>
              <w:right w:val="single" w:sz="4" w:space="0" w:color="auto"/>
            </w:tcBorders>
            <w:shd w:val="clear" w:color="000000" w:fill="D9D9D9"/>
            <w:noWrap/>
            <w:vAlign w:val="bottom"/>
            <w:hideMark/>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£'000</w:t>
            </w:r>
          </w:p>
        </w:tc>
      </w:tr>
      <w:tr w:rsidR="00D665B3" w:rsidRPr="00D665B3" w:rsidTr="00D665B3">
        <w:trPr>
          <w:trHeight w:val="300"/>
        </w:trPr>
        <w:tc>
          <w:tcPr>
            <w:tcW w:w="5540" w:type="dxa"/>
            <w:tcBorders>
              <w:top w:val="single" w:sz="4" w:space="0" w:color="auto"/>
              <w:left w:val="single" w:sz="4" w:space="0" w:color="auto"/>
              <w:bottom w:val="nil"/>
              <w:right w:val="nil"/>
            </w:tcBorders>
            <w:shd w:val="clear" w:color="auto" w:fill="auto"/>
            <w:noWrap/>
            <w:vAlign w:val="bottom"/>
            <w:hideMark/>
          </w:tcPr>
          <w:p w:rsidR="00D665B3" w:rsidRPr="00D665B3" w:rsidRDefault="00D665B3" w:rsidP="00D665B3">
            <w:pPr>
              <w:spacing w:after="0"/>
              <w:rPr>
                <w:rFonts w:cs="Arial"/>
                <w:b/>
                <w:bCs/>
                <w:color w:val="auto"/>
                <w:sz w:val="22"/>
                <w:szCs w:val="22"/>
              </w:rPr>
            </w:pPr>
            <w:r w:rsidRPr="00D665B3">
              <w:rPr>
                <w:rFonts w:cs="Arial"/>
                <w:b/>
                <w:bCs/>
                <w:color w:val="auto"/>
                <w:sz w:val="22"/>
                <w:szCs w:val="22"/>
              </w:rPr>
              <w:t>Indicators</w:t>
            </w:r>
          </w:p>
        </w:tc>
        <w:tc>
          <w:tcPr>
            <w:tcW w:w="1540" w:type="dxa"/>
            <w:tcBorders>
              <w:top w:val="nil"/>
              <w:left w:val="single" w:sz="4" w:space="0" w:color="auto"/>
              <w:bottom w:val="nil"/>
              <w:right w:val="single" w:sz="4" w:space="0" w:color="auto"/>
            </w:tcBorders>
            <w:shd w:val="clear" w:color="auto" w:fill="auto"/>
            <w:noWrap/>
            <w:vAlign w:val="bottom"/>
            <w:hideMark/>
          </w:tcPr>
          <w:p w:rsidR="00D665B3" w:rsidRPr="00D665B3" w:rsidRDefault="00D665B3" w:rsidP="00D665B3">
            <w:pPr>
              <w:spacing w:after="0"/>
              <w:rPr>
                <w:rFonts w:cs="Arial"/>
                <w:color w:val="auto"/>
                <w:sz w:val="22"/>
                <w:szCs w:val="22"/>
              </w:rPr>
            </w:pPr>
            <w:r w:rsidRPr="00D665B3">
              <w:rPr>
                <w:rFonts w:cs="Arial"/>
                <w:color w:val="auto"/>
                <w:sz w:val="22"/>
                <w:szCs w:val="22"/>
              </w:rPr>
              <w:t> </w:t>
            </w:r>
          </w:p>
        </w:tc>
        <w:tc>
          <w:tcPr>
            <w:tcW w:w="1540" w:type="dxa"/>
            <w:tcBorders>
              <w:top w:val="single" w:sz="4" w:space="0" w:color="auto"/>
              <w:left w:val="nil"/>
              <w:bottom w:val="nil"/>
              <w:right w:val="single" w:sz="4" w:space="0" w:color="auto"/>
            </w:tcBorders>
            <w:shd w:val="clear" w:color="auto" w:fill="auto"/>
            <w:noWrap/>
            <w:vAlign w:val="bottom"/>
            <w:hideMark/>
          </w:tcPr>
          <w:p w:rsidR="00D665B3" w:rsidRPr="00D665B3" w:rsidRDefault="00D665B3" w:rsidP="00D665B3">
            <w:pPr>
              <w:spacing w:after="0"/>
              <w:rPr>
                <w:rFonts w:cs="Arial"/>
                <w:color w:val="auto"/>
                <w:sz w:val="22"/>
                <w:szCs w:val="22"/>
              </w:rPr>
            </w:pPr>
            <w:r w:rsidRPr="00D665B3">
              <w:rPr>
                <w:rFonts w:cs="Arial"/>
                <w:color w:val="auto"/>
                <w:sz w:val="22"/>
                <w:szCs w:val="22"/>
              </w:rPr>
              <w:t> </w:t>
            </w:r>
          </w:p>
        </w:tc>
      </w:tr>
      <w:tr w:rsidR="00D665B3" w:rsidRPr="00D665B3" w:rsidTr="00D665B3">
        <w:trPr>
          <w:trHeight w:val="285"/>
        </w:trPr>
        <w:tc>
          <w:tcPr>
            <w:tcW w:w="5540" w:type="dxa"/>
            <w:tcBorders>
              <w:top w:val="nil"/>
              <w:left w:val="single" w:sz="4" w:space="0" w:color="auto"/>
              <w:bottom w:val="nil"/>
              <w:right w:val="nil"/>
            </w:tcBorders>
            <w:shd w:val="clear" w:color="auto" w:fill="auto"/>
            <w:noWrap/>
            <w:vAlign w:val="bottom"/>
            <w:hideMark/>
          </w:tcPr>
          <w:p w:rsidR="00D665B3" w:rsidRPr="00D665B3" w:rsidRDefault="00D665B3" w:rsidP="00D665B3">
            <w:pPr>
              <w:spacing w:after="0"/>
              <w:rPr>
                <w:rFonts w:cs="Arial"/>
                <w:color w:val="auto"/>
                <w:sz w:val="22"/>
                <w:szCs w:val="22"/>
              </w:rPr>
            </w:pPr>
            <w:r w:rsidRPr="00D665B3">
              <w:rPr>
                <w:rFonts w:cs="Arial"/>
                <w:color w:val="auto"/>
                <w:sz w:val="22"/>
                <w:szCs w:val="22"/>
              </w:rPr>
              <w:t>Original Indicator - Authorised Limit</w:t>
            </w:r>
          </w:p>
        </w:tc>
        <w:tc>
          <w:tcPr>
            <w:tcW w:w="1540" w:type="dxa"/>
            <w:tcBorders>
              <w:top w:val="nil"/>
              <w:left w:val="single" w:sz="4" w:space="0" w:color="auto"/>
              <w:bottom w:val="nil"/>
              <w:right w:val="single" w:sz="4" w:space="0" w:color="auto"/>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247,000</w:t>
            </w:r>
          </w:p>
        </w:tc>
        <w:tc>
          <w:tcPr>
            <w:tcW w:w="1540" w:type="dxa"/>
            <w:tcBorders>
              <w:top w:val="nil"/>
              <w:left w:val="nil"/>
              <w:bottom w:val="nil"/>
              <w:right w:val="single" w:sz="4" w:space="0" w:color="auto"/>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247,566</w:t>
            </w:r>
          </w:p>
        </w:tc>
      </w:tr>
      <w:tr w:rsidR="00D665B3" w:rsidRPr="00D665B3" w:rsidTr="00D665B3">
        <w:trPr>
          <w:trHeight w:val="285"/>
        </w:trPr>
        <w:tc>
          <w:tcPr>
            <w:tcW w:w="5540" w:type="dxa"/>
            <w:tcBorders>
              <w:top w:val="nil"/>
              <w:left w:val="single" w:sz="4" w:space="0" w:color="auto"/>
              <w:bottom w:val="nil"/>
              <w:right w:val="nil"/>
            </w:tcBorders>
            <w:shd w:val="clear" w:color="auto" w:fill="auto"/>
            <w:noWrap/>
            <w:vAlign w:val="bottom"/>
            <w:hideMark/>
          </w:tcPr>
          <w:p w:rsidR="00D665B3" w:rsidRPr="00D665B3" w:rsidRDefault="00D665B3" w:rsidP="00D665B3">
            <w:pPr>
              <w:spacing w:after="0"/>
              <w:rPr>
                <w:rFonts w:cs="Arial"/>
                <w:color w:val="auto"/>
                <w:sz w:val="22"/>
                <w:szCs w:val="22"/>
              </w:rPr>
            </w:pPr>
            <w:r w:rsidRPr="00D665B3">
              <w:rPr>
                <w:rFonts w:cs="Arial"/>
                <w:color w:val="auto"/>
                <w:sz w:val="22"/>
                <w:szCs w:val="22"/>
              </w:rPr>
              <w:t>Original Indicator - Operational Boundary</w:t>
            </w:r>
          </w:p>
        </w:tc>
        <w:tc>
          <w:tcPr>
            <w:tcW w:w="1540" w:type="dxa"/>
            <w:tcBorders>
              <w:top w:val="nil"/>
              <w:left w:val="single" w:sz="4" w:space="0" w:color="auto"/>
              <w:bottom w:val="nil"/>
              <w:right w:val="single" w:sz="4" w:space="0" w:color="auto"/>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236,000</w:t>
            </w:r>
          </w:p>
        </w:tc>
        <w:tc>
          <w:tcPr>
            <w:tcW w:w="1540" w:type="dxa"/>
            <w:tcBorders>
              <w:top w:val="nil"/>
              <w:left w:val="nil"/>
              <w:bottom w:val="nil"/>
              <w:right w:val="single" w:sz="4" w:space="0" w:color="auto"/>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234,000</w:t>
            </w:r>
          </w:p>
        </w:tc>
      </w:tr>
      <w:tr w:rsidR="00D665B3" w:rsidRPr="00D665B3" w:rsidTr="00D665B3">
        <w:trPr>
          <w:trHeight w:val="285"/>
        </w:trPr>
        <w:tc>
          <w:tcPr>
            <w:tcW w:w="5540" w:type="dxa"/>
            <w:tcBorders>
              <w:top w:val="nil"/>
              <w:left w:val="single" w:sz="4" w:space="0" w:color="auto"/>
              <w:bottom w:val="nil"/>
              <w:right w:val="nil"/>
            </w:tcBorders>
            <w:shd w:val="clear" w:color="auto" w:fill="auto"/>
            <w:noWrap/>
            <w:vAlign w:val="bottom"/>
            <w:hideMark/>
          </w:tcPr>
          <w:p w:rsidR="00D665B3" w:rsidRPr="00D665B3" w:rsidRDefault="00D665B3" w:rsidP="00D665B3">
            <w:pPr>
              <w:spacing w:after="0"/>
              <w:rPr>
                <w:rFonts w:cs="Arial"/>
                <w:color w:val="auto"/>
                <w:sz w:val="22"/>
                <w:szCs w:val="22"/>
              </w:rPr>
            </w:pPr>
            <w:r w:rsidRPr="00D665B3">
              <w:rPr>
                <w:rFonts w:cs="Arial"/>
                <w:color w:val="auto"/>
                <w:sz w:val="22"/>
                <w:szCs w:val="22"/>
              </w:rPr>
              <w:t> </w:t>
            </w:r>
          </w:p>
        </w:tc>
        <w:tc>
          <w:tcPr>
            <w:tcW w:w="1540" w:type="dxa"/>
            <w:tcBorders>
              <w:top w:val="nil"/>
              <w:left w:val="single" w:sz="4" w:space="0" w:color="auto"/>
              <w:bottom w:val="nil"/>
              <w:right w:val="single" w:sz="4" w:space="0" w:color="auto"/>
            </w:tcBorders>
            <w:shd w:val="clear" w:color="auto" w:fill="auto"/>
            <w:noWrap/>
            <w:vAlign w:val="bottom"/>
          </w:tcPr>
          <w:p w:rsidR="00D665B3" w:rsidRPr="00D665B3" w:rsidRDefault="00D665B3" w:rsidP="00D665B3">
            <w:pPr>
              <w:spacing w:after="0"/>
              <w:rPr>
                <w:rFonts w:cs="Arial"/>
                <w:color w:val="auto"/>
                <w:sz w:val="22"/>
                <w:szCs w:val="22"/>
              </w:rPr>
            </w:pPr>
          </w:p>
        </w:tc>
        <w:tc>
          <w:tcPr>
            <w:tcW w:w="1540" w:type="dxa"/>
            <w:tcBorders>
              <w:top w:val="nil"/>
              <w:left w:val="nil"/>
              <w:bottom w:val="nil"/>
              <w:right w:val="single" w:sz="4" w:space="0" w:color="auto"/>
            </w:tcBorders>
            <w:shd w:val="clear" w:color="auto" w:fill="auto"/>
            <w:noWrap/>
            <w:vAlign w:val="bottom"/>
          </w:tcPr>
          <w:p w:rsidR="00D665B3" w:rsidRPr="00D665B3" w:rsidRDefault="00D665B3" w:rsidP="00D665B3">
            <w:pPr>
              <w:spacing w:after="0"/>
              <w:rPr>
                <w:rFonts w:cs="Arial"/>
                <w:color w:val="auto"/>
                <w:sz w:val="22"/>
                <w:szCs w:val="22"/>
              </w:rPr>
            </w:pPr>
          </w:p>
        </w:tc>
      </w:tr>
      <w:tr w:rsidR="00D665B3" w:rsidRPr="00D665B3" w:rsidTr="00D665B3">
        <w:trPr>
          <w:trHeight w:val="570"/>
        </w:trPr>
        <w:tc>
          <w:tcPr>
            <w:tcW w:w="5540" w:type="dxa"/>
            <w:tcBorders>
              <w:top w:val="nil"/>
              <w:left w:val="single" w:sz="4" w:space="0" w:color="auto"/>
              <w:bottom w:val="nil"/>
              <w:right w:val="nil"/>
            </w:tcBorders>
            <w:shd w:val="clear" w:color="auto" w:fill="auto"/>
            <w:vAlign w:val="bottom"/>
            <w:hideMark/>
          </w:tcPr>
          <w:p w:rsidR="00D665B3" w:rsidRPr="00D665B3" w:rsidRDefault="00D665B3" w:rsidP="00D665B3">
            <w:pPr>
              <w:spacing w:after="0"/>
              <w:rPr>
                <w:rFonts w:cs="Arial"/>
                <w:color w:val="auto"/>
                <w:sz w:val="22"/>
                <w:szCs w:val="22"/>
              </w:rPr>
            </w:pPr>
            <w:r w:rsidRPr="00D665B3">
              <w:rPr>
                <w:rFonts w:cs="Arial"/>
                <w:color w:val="auto"/>
                <w:sz w:val="22"/>
                <w:szCs w:val="22"/>
              </w:rPr>
              <w:t>Financing Costs as a proportion of Net Revenue Stream - General Fund</w:t>
            </w:r>
          </w:p>
        </w:tc>
        <w:tc>
          <w:tcPr>
            <w:tcW w:w="1540" w:type="dxa"/>
            <w:tcBorders>
              <w:top w:val="nil"/>
              <w:left w:val="single" w:sz="4" w:space="0" w:color="auto"/>
              <w:bottom w:val="nil"/>
              <w:right w:val="single" w:sz="4" w:space="0" w:color="auto"/>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-0.15%</w:t>
            </w:r>
          </w:p>
        </w:tc>
        <w:tc>
          <w:tcPr>
            <w:tcW w:w="1540" w:type="dxa"/>
            <w:tcBorders>
              <w:top w:val="nil"/>
              <w:left w:val="nil"/>
              <w:bottom w:val="nil"/>
              <w:right w:val="single" w:sz="4" w:space="0" w:color="auto"/>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-0.09%</w:t>
            </w:r>
          </w:p>
        </w:tc>
      </w:tr>
      <w:tr w:rsidR="00D665B3" w:rsidRPr="00D665B3" w:rsidTr="00D665B3">
        <w:trPr>
          <w:trHeight w:val="570"/>
        </w:trPr>
        <w:tc>
          <w:tcPr>
            <w:tcW w:w="5540" w:type="dxa"/>
            <w:tcBorders>
              <w:top w:val="nil"/>
              <w:left w:val="single" w:sz="4" w:space="0" w:color="auto"/>
              <w:bottom w:val="single" w:sz="4" w:space="0" w:color="auto"/>
              <w:right w:val="nil"/>
            </w:tcBorders>
            <w:shd w:val="clear" w:color="auto" w:fill="auto"/>
            <w:vAlign w:val="bottom"/>
            <w:hideMark/>
          </w:tcPr>
          <w:p w:rsidR="00D665B3" w:rsidRPr="00D665B3" w:rsidRDefault="00D665B3" w:rsidP="00D665B3">
            <w:pPr>
              <w:spacing w:after="0"/>
              <w:rPr>
                <w:rFonts w:cs="Arial"/>
                <w:color w:val="auto"/>
                <w:sz w:val="22"/>
                <w:szCs w:val="22"/>
              </w:rPr>
            </w:pPr>
            <w:r w:rsidRPr="00D665B3">
              <w:rPr>
                <w:rFonts w:cs="Arial"/>
                <w:color w:val="auto"/>
                <w:sz w:val="22"/>
                <w:szCs w:val="22"/>
              </w:rPr>
              <w:t>Financing Costs as a proportion of Net Revenue Stream - HRA</w:t>
            </w:r>
          </w:p>
        </w:tc>
        <w:tc>
          <w:tcPr>
            <w:tcW w:w="1540" w:type="dxa"/>
            <w:tcBorders>
              <w:top w:val="nil"/>
              <w:left w:val="single" w:sz="4" w:space="0" w:color="auto"/>
              <w:bottom w:val="single" w:sz="4" w:space="0" w:color="auto"/>
              <w:right w:val="single" w:sz="4" w:space="0" w:color="auto"/>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17.7%</w:t>
            </w:r>
          </w:p>
        </w:tc>
        <w:tc>
          <w:tcPr>
            <w:tcW w:w="1540" w:type="dxa"/>
            <w:tcBorders>
              <w:top w:val="nil"/>
              <w:left w:val="nil"/>
              <w:bottom w:val="single" w:sz="4" w:space="0" w:color="auto"/>
              <w:right w:val="single" w:sz="4" w:space="0" w:color="auto"/>
            </w:tcBorders>
            <w:shd w:val="clear" w:color="auto" w:fill="auto"/>
            <w:noWrap/>
            <w:vAlign w:val="bottom"/>
          </w:tcPr>
          <w:p w:rsidR="00D665B3" w:rsidRPr="00D665B3" w:rsidRDefault="00D665B3" w:rsidP="003948AC">
            <w:pPr>
              <w:spacing w:after="0"/>
              <w:jc w:val="right"/>
              <w:rPr>
                <w:rFonts w:cs="Arial"/>
                <w:color w:val="auto"/>
                <w:sz w:val="22"/>
                <w:szCs w:val="22"/>
              </w:rPr>
            </w:pPr>
            <w:r w:rsidRPr="00D665B3">
              <w:rPr>
                <w:rFonts w:cs="Arial"/>
                <w:color w:val="auto"/>
                <w:sz w:val="22"/>
                <w:szCs w:val="22"/>
              </w:rPr>
              <w:t>1</w:t>
            </w:r>
            <w:r w:rsidR="003948AC">
              <w:rPr>
                <w:rFonts w:cs="Arial"/>
                <w:color w:val="auto"/>
                <w:sz w:val="22"/>
                <w:szCs w:val="22"/>
              </w:rPr>
              <w:t>6</w:t>
            </w:r>
            <w:r w:rsidRPr="00D665B3">
              <w:rPr>
                <w:rFonts w:cs="Arial"/>
                <w:color w:val="auto"/>
                <w:sz w:val="22"/>
                <w:szCs w:val="22"/>
              </w:rPr>
              <w:t>.</w:t>
            </w:r>
            <w:r w:rsidR="003948AC">
              <w:rPr>
                <w:rFonts w:cs="Arial"/>
                <w:color w:val="auto"/>
                <w:sz w:val="22"/>
                <w:szCs w:val="22"/>
              </w:rPr>
              <w:t>8</w:t>
            </w:r>
            <w:r w:rsidRPr="00D665B3">
              <w:rPr>
                <w:rFonts w:cs="Arial"/>
                <w:color w:val="auto"/>
                <w:sz w:val="22"/>
                <w:szCs w:val="22"/>
              </w:rPr>
              <w:t>%</w:t>
            </w:r>
          </w:p>
        </w:tc>
      </w:tr>
    </w:tbl>
    <w:p w:rsidR="00D665B3" w:rsidRPr="00D665B3" w:rsidRDefault="00D665B3" w:rsidP="00D665B3">
      <w:pPr>
        <w:pStyle w:val="bParagraphtext"/>
        <w:numPr>
          <w:ilvl w:val="0"/>
          <w:numId w:val="0"/>
        </w:numPr>
        <w:spacing w:after="0"/>
        <w:ind w:left="425"/>
      </w:pPr>
    </w:p>
    <w:p w:rsidR="00D665B3" w:rsidRPr="001356F1" w:rsidRDefault="00D665B3" w:rsidP="00D665B3">
      <w:pPr>
        <w:spacing w:before="240"/>
        <w:outlineLvl w:val="0"/>
        <w:rPr>
          <w:b/>
        </w:rPr>
      </w:pPr>
      <w:r w:rsidRPr="00D665B3">
        <w:rPr>
          <w:b/>
        </w:rPr>
        <w:t>Icelandic Banks</w:t>
      </w:r>
    </w:p>
    <w:p w:rsidR="00D665B3" w:rsidRDefault="00D665B3" w:rsidP="00100D19">
      <w:pPr>
        <w:pStyle w:val="bParagraphtext"/>
      </w:pPr>
      <w:r w:rsidRPr="00D665B3">
        <w:t>During 2008/09 the Council invested £4.5 million with two of the now failed Icelandic banks: £3.0 million was deposited with Heritable Bank and £1.5 million with Glitnir Bank.</w:t>
      </w:r>
    </w:p>
    <w:p w:rsidR="00D665B3" w:rsidRDefault="00EA1ADC" w:rsidP="00100D19">
      <w:pPr>
        <w:pStyle w:val="bParagraphtext"/>
      </w:pPr>
      <w:r>
        <w:t>As at 31</w:t>
      </w:r>
      <w:r w:rsidR="00D665B3" w:rsidRPr="00D665B3">
        <w:t xml:space="preserve"> March 2016, the Council had received approximately £2.94 million of its original Heritable Bank investment.  A repayment of £0.119 million </w:t>
      </w:r>
      <w:r w:rsidR="00B96B52">
        <w:t>was</w:t>
      </w:r>
      <w:r w:rsidR="00D665B3" w:rsidRPr="00D665B3">
        <w:t xml:space="preserve"> received in 2015/16.  A balance of £0.060 </w:t>
      </w:r>
      <w:r w:rsidR="00B96B52">
        <w:t xml:space="preserve">million </w:t>
      </w:r>
      <w:r w:rsidR="00D665B3" w:rsidRPr="00D665B3">
        <w:t>remains</w:t>
      </w:r>
      <w:r w:rsidR="00B96B52">
        <w:t xml:space="preserve">.  </w:t>
      </w:r>
      <w:r w:rsidR="00D665B3" w:rsidRPr="00D665B3">
        <w:t xml:space="preserve"> </w:t>
      </w:r>
      <w:r w:rsidR="00B96B52">
        <w:t>T</w:t>
      </w:r>
      <w:r w:rsidR="00D665B3" w:rsidRPr="00D665B3">
        <w:t>he prospect of a full recovery is uncertain.</w:t>
      </w:r>
    </w:p>
    <w:p w:rsidR="00D665B3" w:rsidRDefault="00D665B3" w:rsidP="00100D19">
      <w:pPr>
        <w:pStyle w:val="bParagraphtext"/>
      </w:pPr>
      <w:r w:rsidRPr="00D665B3">
        <w:t xml:space="preserve">As at </w:t>
      </w:r>
      <w:r w:rsidR="00EA1ADC">
        <w:t>31</w:t>
      </w:r>
      <w:r w:rsidRPr="00D665B3">
        <w:t xml:space="preserve"> March 2016, the Council had received approximately £1.394 million of its Glitnir investment.  A repayment of £0.098 million has been received in 2015/16.  A balance of £0.106 million remains with the potential to recover this in due course.</w:t>
      </w:r>
    </w:p>
    <w:p w:rsidR="00D665B3" w:rsidRPr="001356F1" w:rsidRDefault="00D665B3" w:rsidP="00D665B3">
      <w:pPr>
        <w:spacing w:before="240"/>
        <w:outlineLvl w:val="0"/>
        <w:rPr>
          <w:b/>
        </w:rPr>
      </w:pPr>
      <w:r w:rsidRPr="00D665B3">
        <w:rPr>
          <w:b/>
        </w:rPr>
        <w:t>Investment Income</w:t>
      </w:r>
    </w:p>
    <w:p w:rsidR="00D665B3" w:rsidRDefault="00D665B3" w:rsidP="00100D19">
      <w:pPr>
        <w:pStyle w:val="bParagraphtext"/>
      </w:pPr>
      <w:r w:rsidRPr="00D665B3">
        <w:t xml:space="preserve">The following graph shows the monthly average interest earned by the Council in comparison to the base rate and also in comparison to its benchmarks: 3-months </w:t>
      </w:r>
      <w:proofErr w:type="spellStart"/>
      <w:r w:rsidRPr="00D665B3">
        <w:t>Libid</w:t>
      </w:r>
      <w:proofErr w:type="spellEnd"/>
      <w:r w:rsidRPr="00D665B3">
        <w:t xml:space="preserve"> and 7-day </w:t>
      </w:r>
      <w:proofErr w:type="spellStart"/>
      <w:r w:rsidRPr="00D665B3">
        <w:t>Libid</w:t>
      </w:r>
      <w:proofErr w:type="spellEnd"/>
      <w:r w:rsidRPr="00D665B3">
        <w:t>.</w:t>
      </w:r>
    </w:p>
    <w:p w:rsidR="00D665B3" w:rsidRDefault="00D665B3" w:rsidP="00D665B3">
      <w:pPr>
        <w:pStyle w:val="bParagraphtext"/>
        <w:numPr>
          <w:ilvl w:val="0"/>
          <w:numId w:val="0"/>
        </w:numPr>
        <w:ind w:left="426"/>
      </w:pPr>
      <w:r>
        <w:rPr>
          <w:noProof/>
        </w:rPr>
        <w:lastRenderedPageBreak/>
        <w:drawing>
          <wp:inline distT="0" distB="0" distL="0" distR="0" wp14:anchorId="3D81D89D" wp14:editId="395FE4F0">
            <wp:extent cx="5219363" cy="3309642"/>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1434" cy="3310955"/>
                    </a:xfrm>
                    <a:prstGeom prst="rect">
                      <a:avLst/>
                    </a:prstGeom>
                    <a:noFill/>
                  </pic:spPr>
                </pic:pic>
              </a:graphicData>
            </a:graphic>
          </wp:inline>
        </w:drawing>
      </w:r>
    </w:p>
    <w:p w:rsidR="00D665B3" w:rsidRDefault="00D665B3" w:rsidP="00100D19">
      <w:pPr>
        <w:pStyle w:val="bParagraphtext"/>
      </w:pPr>
      <w:r w:rsidRPr="00D665B3">
        <w:t xml:space="preserve">As illustrated above, the Council’s average monthly rate of return </w:t>
      </w:r>
      <w:r w:rsidR="00B96B52">
        <w:t>flu</w:t>
      </w:r>
      <w:r w:rsidR="009A6AD6">
        <w:t>ct</w:t>
      </w:r>
      <w:r w:rsidR="00B96B52">
        <w:t>uated</w:t>
      </w:r>
      <w:r w:rsidRPr="00D665B3">
        <w:t xml:space="preserve"> around the benchmark throughout the year.  It exceeded the benchmark for eight months, met the benchmark for two months and dropped below for two months.</w:t>
      </w:r>
    </w:p>
    <w:p w:rsidR="00D665B3" w:rsidRDefault="00D665B3" w:rsidP="00100D19">
      <w:pPr>
        <w:pStyle w:val="bParagraphtext"/>
      </w:pPr>
      <w:r w:rsidRPr="00D665B3">
        <w:t>The Council manages its investments in-house and invests with institutions listed in the Council’s approved counterparty list.  The Council invests for a range of periods from overnight to 364 days, dependant on cash flow needs, its interest rate view, the interest rates on offer and durational limits set out in the Council’s Investment Strategy.</w:t>
      </w:r>
    </w:p>
    <w:p w:rsidR="00D665B3" w:rsidRDefault="00D665B3" w:rsidP="00100D19">
      <w:pPr>
        <w:pStyle w:val="bParagraphtext"/>
      </w:pPr>
      <w:r w:rsidRPr="00D665B3">
        <w:t>During 2015/16, the Council maintained an average investment balance of £74.8million and received an average return of 1.17%.  This is above the target of 1% and is mainly due to investment in property funds. It is important to note that market rates have continued to drop throughout the financial year and that for many of the approved counterparties, the Council has not been able to achieve the same rate of return as in previous periods.</w:t>
      </w:r>
    </w:p>
    <w:p w:rsidR="00D665B3" w:rsidRDefault="00D665B3" w:rsidP="00100D19">
      <w:pPr>
        <w:pStyle w:val="bParagraphtext"/>
      </w:pPr>
      <w:r w:rsidRPr="00D665B3">
        <w:t xml:space="preserve">The Property Funds are classified as Non-specified Investments within the approved Strategy.  The current rate of return on the investments is circa 4.05% per annum.  The </w:t>
      </w:r>
      <w:r w:rsidR="00EB5A82">
        <w:t xml:space="preserve">capital </w:t>
      </w:r>
      <w:r w:rsidRPr="00D665B3">
        <w:t xml:space="preserve">value of the Communities, Churches and Local Authorities Fund has increased by 28.32% since April 2013 and the </w:t>
      </w:r>
      <w:proofErr w:type="spellStart"/>
      <w:r w:rsidRPr="00D665B3">
        <w:t>Lothbury</w:t>
      </w:r>
      <w:proofErr w:type="spellEnd"/>
      <w:r w:rsidRPr="00D665B3">
        <w:t xml:space="preserve"> fund has </w:t>
      </w:r>
      <w:r w:rsidR="00EB5A82">
        <w:t xml:space="preserve">similarly </w:t>
      </w:r>
      <w:r w:rsidRPr="00D665B3">
        <w:t xml:space="preserve">increased by 15.74% since August 2014.  </w:t>
      </w:r>
      <w:r w:rsidR="003948AC">
        <w:t>T</w:t>
      </w:r>
      <w:r w:rsidRPr="00D665B3">
        <w:t xml:space="preserve">his </w:t>
      </w:r>
      <w:r w:rsidR="003948AC">
        <w:t xml:space="preserve">capital value </w:t>
      </w:r>
      <w:r w:rsidRPr="00D665B3">
        <w:t>can also fluctuate downwards</w:t>
      </w:r>
      <w:r w:rsidR="00DB4E7B">
        <w:t>.</w:t>
      </w:r>
      <w:r w:rsidR="003948AC">
        <w:t xml:space="preserve"> </w:t>
      </w:r>
      <w:r w:rsidR="00DB4E7B">
        <w:t xml:space="preserve"> H</w:t>
      </w:r>
      <w:r w:rsidR="003948AC">
        <w:t>owever the Council joined the property funds as a long term investment because of the revenue stream</w:t>
      </w:r>
      <w:r w:rsidRPr="00D665B3">
        <w:t>.</w:t>
      </w:r>
      <w:r w:rsidR="003948AC">
        <w:t xml:space="preserve">  It is expected that the capital values will vary up and down in line with the property market and the overall position is monitored on a monthly basis.</w:t>
      </w:r>
      <w:r w:rsidR="00AC0CA1">
        <w:t xml:space="preserve">  Since </w:t>
      </w:r>
      <w:r w:rsidR="00EA1ADC">
        <w:t>31</w:t>
      </w:r>
      <w:r w:rsidR="00AC0CA1">
        <w:t xml:space="preserve"> March 2016 there has been a sharp reduction in the capital value of the property funds due to reductions in property values post-Brexit.  The Council entered into the property funds to achieve a revenue return and, whilst the capital value has reduced, it is still significantly above the purchase value.</w:t>
      </w:r>
    </w:p>
    <w:p w:rsidR="00D665B3" w:rsidRDefault="00D665B3" w:rsidP="00100D19">
      <w:pPr>
        <w:pStyle w:val="bParagraphtext"/>
      </w:pPr>
      <w:r w:rsidRPr="00D665B3">
        <w:t xml:space="preserve">Actual investment income for 2015/16 was £0.86 million; this was marginally lower than the original budget of £0.94 million.  Market rates continue to be very low and </w:t>
      </w:r>
      <w:r w:rsidRPr="00D665B3">
        <w:lastRenderedPageBreak/>
        <w:t>as security of investment is the Council’s primary concern, it has not always been possible to invest cash at more favourable rates.</w:t>
      </w:r>
    </w:p>
    <w:p w:rsidR="00D665B3" w:rsidRDefault="00D665B3" w:rsidP="00100D19">
      <w:pPr>
        <w:pStyle w:val="bParagraphtext"/>
      </w:pPr>
      <w:r w:rsidRPr="00D665B3">
        <w:t>Fluctuations in the Council’s balances have been managed through a mix of instant access and notice accounts, money market funds and short term deposits (up to 364 days).  This approach is in line with the Investment Strategy approved by Council.</w:t>
      </w:r>
    </w:p>
    <w:p w:rsidR="00643CC2" w:rsidRPr="001356F1" w:rsidRDefault="00643CC2" w:rsidP="00643CC2">
      <w:pPr>
        <w:spacing w:before="240"/>
        <w:outlineLvl w:val="0"/>
        <w:rPr>
          <w:b/>
        </w:rPr>
      </w:pPr>
      <w:r>
        <w:rPr>
          <w:b/>
        </w:rPr>
        <w:t xml:space="preserve">Interest Rates since </w:t>
      </w:r>
      <w:r w:rsidR="00EA1ADC">
        <w:rPr>
          <w:b/>
        </w:rPr>
        <w:t>31</w:t>
      </w:r>
      <w:r>
        <w:rPr>
          <w:b/>
        </w:rPr>
        <w:t xml:space="preserve"> March 2016</w:t>
      </w:r>
    </w:p>
    <w:p w:rsidR="00643CC2" w:rsidRDefault="00643CC2" w:rsidP="00100D19">
      <w:pPr>
        <w:pStyle w:val="bParagraphtext"/>
      </w:pPr>
      <w:r>
        <w:t xml:space="preserve">The Council takes advice from Capita on the appropriate durations to place investments with counterparties.  These durations and also the availability of individual counterparties change based on market conditions and the credit ratings of </w:t>
      </w:r>
      <w:r w:rsidR="00D91269">
        <w:t xml:space="preserve">the </w:t>
      </w:r>
      <w:r>
        <w:t>individual institution</w:t>
      </w:r>
      <w:r w:rsidR="00D91269">
        <w:t>s</w:t>
      </w:r>
      <w:r>
        <w:t>.  This mean</w:t>
      </w:r>
      <w:r w:rsidR="00A07272">
        <w:t>s</w:t>
      </w:r>
      <w:r>
        <w:t xml:space="preserve"> that the investment portfolio has to be actively managed to ensure both the availability of enough suitable counterparties and that the Council achieves the best interest rates possible within the agreed security and liquidity parameters.</w:t>
      </w:r>
    </w:p>
    <w:p w:rsidR="00301501" w:rsidRDefault="00A07272" w:rsidP="00301501">
      <w:pPr>
        <w:pStyle w:val="bParagraphtext"/>
      </w:pPr>
      <w:r>
        <w:t>F</w:t>
      </w:r>
      <w:r w:rsidR="00643CC2">
        <w:t>ollowing the result of the referendum on 23</w:t>
      </w:r>
      <w:r w:rsidR="00643CC2" w:rsidRPr="001A509B">
        <w:rPr>
          <w:vertAlign w:val="superscript"/>
        </w:rPr>
        <w:t>rd</w:t>
      </w:r>
      <w:r w:rsidR="00643CC2">
        <w:t xml:space="preserve"> June 2016</w:t>
      </w:r>
      <w:r w:rsidR="00AC690C">
        <w:t xml:space="preserve">, there have been </w:t>
      </w:r>
      <w:r>
        <w:t xml:space="preserve">further </w:t>
      </w:r>
      <w:r w:rsidR="00AC690C">
        <w:t xml:space="preserve">downward pressures on interest rates.  </w:t>
      </w:r>
      <w:r w:rsidR="00301501" w:rsidRPr="00301501">
        <w:t>The Bank of England's Monetary Policy Committee did not adjust the Base Rate when it met in July</w:t>
      </w:r>
      <w:r w:rsidR="00301501">
        <w:t>,</w:t>
      </w:r>
      <w:r w:rsidR="00301501" w:rsidRPr="00301501">
        <w:t xml:space="preserve"> </w:t>
      </w:r>
      <w:r w:rsidR="00301501">
        <w:t>h</w:t>
      </w:r>
      <w:r w:rsidR="00301501" w:rsidRPr="00301501">
        <w:t>owever the release of economic data showing that the Brexit implications were more significant tha</w:t>
      </w:r>
      <w:r w:rsidR="00301501">
        <w:t>n</w:t>
      </w:r>
      <w:r w:rsidR="00301501" w:rsidRPr="00301501">
        <w:t xml:space="preserve"> first thought meant that the MPC Committee cut bank base rate by 0.25% to a record low of 0.25% at its meeting on the 4</w:t>
      </w:r>
      <w:r w:rsidR="00301501" w:rsidRPr="00301501">
        <w:rPr>
          <w:vertAlign w:val="superscript"/>
        </w:rPr>
        <w:t>th</w:t>
      </w:r>
      <w:r w:rsidR="00301501" w:rsidRPr="00301501">
        <w:t xml:space="preserve"> August. </w:t>
      </w:r>
      <w:r w:rsidR="00301501">
        <w:t xml:space="preserve"> </w:t>
      </w:r>
      <w:r w:rsidR="00301501" w:rsidRPr="00301501">
        <w:t xml:space="preserve">Capita have revised their interest rate forecasts and expect base rate to be cut further to 0.10% in </w:t>
      </w:r>
      <w:r w:rsidR="00301501">
        <w:t>December 2016</w:t>
      </w:r>
      <w:r w:rsidR="00301501" w:rsidRPr="00301501">
        <w:t>. The forecast goes on to suggest no rise in bas</w:t>
      </w:r>
      <w:r w:rsidR="00301501">
        <w:t>e rate until quarter 2 of 2018.</w:t>
      </w:r>
    </w:p>
    <w:p w:rsidR="000031CC" w:rsidRDefault="00AC690C" w:rsidP="00100D19">
      <w:pPr>
        <w:pStyle w:val="bParagraphtext"/>
      </w:pPr>
      <w:r>
        <w:t xml:space="preserve">Under the current market conditions, Money Market Funds (MMFs) are paying higher interest rates than many six-month investments.  </w:t>
      </w:r>
      <w:r w:rsidR="00DB0BD1">
        <w:t>MMF rates as at the beginning of August are up to 0.52% and six month investments have been quoted at rates down to 0.</w:t>
      </w:r>
      <w:r w:rsidR="00301501">
        <w:t>16</w:t>
      </w:r>
      <w:r w:rsidR="00DB0BD1">
        <w:t xml:space="preserve">%.  </w:t>
      </w:r>
      <w:r>
        <w:t xml:space="preserve">MMFs are amongst the most liquid of Council’s investment portfolio; they do not need the Council to give notice and, providing the Council requests funds by midday, the investment will be transferred into the Council’s bank account that same day.  MMFs </w:t>
      </w:r>
      <w:r w:rsidR="001A509B">
        <w:t>are ordinarily</w:t>
      </w:r>
      <w:r>
        <w:t xml:space="preserve"> used to provide cash flow flexibility to allow money to be accessed and invested quickly </w:t>
      </w:r>
      <w:r w:rsidR="00A85E45">
        <w:t xml:space="preserve">and </w:t>
      </w:r>
      <w:r>
        <w:t>to deal with fluctuations in cash flow</w:t>
      </w:r>
      <w:r w:rsidR="00A85E45">
        <w:t>.</w:t>
      </w:r>
    </w:p>
    <w:p w:rsidR="00643CC2" w:rsidRDefault="006F36C1" w:rsidP="00100D19">
      <w:pPr>
        <w:pStyle w:val="bParagraphtext"/>
      </w:pPr>
      <w:r>
        <w:t>To take advantage of the preferential rates MMFs are currently offering the</w:t>
      </w:r>
      <w:r w:rsidR="00AC690C">
        <w:t xml:space="preserve"> Council </w:t>
      </w:r>
      <w:r>
        <w:t xml:space="preserve">needs </w:t>
      </w:r>
      <w:r w:rsidR="00AC690C">
        <w:t>to increase the amount that can be invested in MMFs</w:t>
      </w:r>
      <w:r w:rsidR="000031CC">
        <w:t xml:space="preserve">.  It is therefore </w:t>
      </w:r>
      <w:r>
        <w:t>recommended that</w:t>
      </w:r>
      <w:r w:rsidR="000031CC">
        <w:t xml:space="preserve"> the 2016/17 Treasury Strategy </w:t>
      </w:r>
      <w:r w:rsidR="00CE2F57">
        <w:t xml:space="preserve">is amended </w:t>
      </w:r>
      <w:r w:rsidR="000031CC">
        <w:t xml:space="preserve">to allow </w:t>
      </w:r>
      <w:r w:rsidR="00CE2F57">
        <w:t xml:space="preserve">an </w:t>
      </w:r>
      <w:r w:rsidR="000031CC">
        <w:t xml:space="preserve">investment </w:t>
      </w:r>
      <w:r w:rsidR="00CE2F57">
        <w:t xml:space="preserve">limit of </w:t>
      </w:r>
      <w:r w:rsidR="000031CC">
        <w:t>£25 million</w:t>
      </w:r>
      <w:r w:rsidR="00CE2F57">
        <w:t xml:space="preserve"> in MMFs</w:t>
      </w:r>
      <w:r w:rsidR="000031CC">
        <w:t xml:space="preserve">, an increase of £5 million on the current limit.  The revised </w:t>
      </w:r>
      <w:r w:rsidR="00B80611">
        <w:t xml:space="preserve">Specified </w:t>
      </w:r>
      <w:r w:rsidR="000031CC">
        <w:t xml:space="preserve">Counterparty </w:t>
      </w:r>
      <w:r w:rsidR="00B80611">
        <w:t>List is attached at Appendix 1 with the proposed change shown in bold italics.</w:t>
      </w:r>
    </w:p>
    <w:p w:rsidR="00D665B3" w:rsidRPr="001356F1" w:rsidRDefault="00D665B3" w:rsidP="00D665B3">
      <w:pPr>
        <w:spacing w:before="240"/>
        <w:outlineLvl w:val="0"/>
        <w:rPr>
          <w:b/>
        </w:rPr>
      </w:pPr>
      <w:r w:rsidRPr="00D665B3">
        <w:rPr>
          <w:b/>
        </w:rPr>
        <w:t>Counterparty Changes</w:t>
      </w:r>
    </w:p>
    <w:p w:rsidR="00D665B3" w:rsidRDefault="00D665B3" w:rsidP="00100D19">
      <w:pPr>
        <w:pStyle w:val="bParagraphtext"/>
      </w:pPr>
      <w:r w:rsidRPr="00D665B3">
        <w:t>Following a tender process, Barclays Bank UK plc now provides the Council’s banking services.</w:t>
      </w:r>
    </w:p>
    <w:p w:rsidR="0040736F" w:rsidRPr="001356F1" w:rsidRDefault="002329CF" w:rsidP="004A6D2F">
      <w:pPr>
        <w:pStyle w:val="Heading1"/>
      </w:pPr>
      <w:r w:rsidRPr="001356F1">
        <w:t>Financial implications</w:t>
      </w:r>
    </w:p>
    <w:p w:rsidR="00E87F7A" w:rsidRPr="001356F1" w:rsidRDefault="00D665B3" w:rsidP="005570B5">
      <w:pPr>
        <w:pStyle w:val="ListParagraph"/>
      </w:pPr>
      <w:r w:rsidRPr="00D665B3">
        <w:t>These are set out within the body of the report.</w:t>
      </w:r>
    </w:p>
    <w:p w:rsidR="00EA1ADC" w:rsidRDefault="00EA1ADC" w:rsidP="004A6D2F">
      <w:pPr>
        <w:pStyle w:val="Heading1"/>
      </w:pPr>
    </w:p>
    <w:p w:rsidR="0040736F" w:rsidRPr="001356F1" w:rsidRDefault="00DA614B" w:rsidP="004A6D2F">
      <w:pPr>
        <w:pStyle w:val="Heading1"/>
      </w:pPr>
      <w:r w:rsidRPr="001356F1">
        <w:lastRenderedPageBreak/>
        <w:t>Legal issues</w:t>
      </w:r>
    </w:p>
    <w:p w:rsidR="00E87F7A" w:rsidRPr="001356F1" w:rsidRDefault="00D665B3" w:rsidP="005570B5">
      <w:pPr>
        <w:pStyle w:val="ListParagraph"/>
      </w:pPr>
      <w:r w:rsidRPr="00D665B3">
        <w:t>The Council is required to report on its Treasury Management Function on an annual basis.  This report meets that requirement</w:t>
      </w:r>
      <w:r w:rsidR="00E87F7A" w:rsidRPr="001356F1">
        <w:t>.</w:t>
      </w:r>
    </w:p>
    <w:p w:rsidR="002329CF" w:rsidRPr="001356F1" w:rsidRDefault="002329CF" w:rsidP="004A6D2F">
      <w:pPr>
        <w:pStyle w:val="Heading1"/>
      </w:pPr>
      <w:r w:rsidRPr="001356F1">
        <w:t>Level of risk</w:t>
      </w:r>
    </w:p>
    <w:p w:rsidR="00BC69A4" w:rsidRPr="001356F1" w:rsidRDefault="00D665B3" w:rsidP="005570B5">
      <w:pPr>
        <w:pStyle w:val="ListParagraph"/>
      </w:pPr>
      <w:r w:rsidRPr="00D665B3">
        <w:t>There are no risks in connection with the report’s recommendations.  Risk assessment and management is a key part of Treasury Management activity, especially in the selection of counterparties when investment is being considered. The Council uses external advisors and counterparty credit ratings issued by the rating agencies to assist in this process.</w:t>
      </w:r>
    </w:p>
    <w:p w:rsidR="002329CF" w:rsidRPr="001356F1" w:rsidRDefault="002329CF" w:rsidP="0050321C">
      <w:pPr>
        <w:pStyle w:val="Heading1"/>
      </w:pPr>
      <w:r w:rsidRPr="001356F1">
        <w:t xml:space="preserve">Equalities impact </w:t>
      </w:r>
    </w:p>
    <w:p w:rsidR="002329CF" w:rsidRPr="001356F1" w:rsidRDefault="00D665B3" w:rsidP="005570B5">
      <w:pPr>
        <w:pStyle w:val="ListParagraph"/>
      </w:pPr>
      <w:r w:rsidRPr="00D665B3">
        <w:t>There is no equalities impact relating to this report</w:t>
      </w:r>
      <w:r>
        <w: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D665B3" w:rsidP="00A46E98">
            <w:r>
              <w:t>Bill Lewis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D665B3" w:rsidP="00A46E98">
            <w:r>
              <w:t>Financial Accounting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D665B3" w:rsidP="00A46E98">
            <w:r>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D665B3" w:rsidP="00A46E98">
            <w:r w:rsidRPr="00D665B3">
              <w:t xml:space="preserve">01865 252607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D665B3" w:rsidP="00A46E98">
            <w:pPr>
              <w:rPr>
                <w:rStyle w:val="Hyperlink"/>
                <w:color w:val="000000"/>
              </w:rPr>
            </w:pPr>
            <w:r w:rsidRPr="00D665B3">
              <w:rPr>
                <w:u w:val="single"/>
              </w:rPr>
              <w:t xml:space="preserve">blewis@oxford.gov.uk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4456DD" w:rsidRPr="009E51FC" w:rsidRDefault="004456DD" w:rsidP="0093067A">
      <w:bookmarkStart w:id="0" w:name="_GoBack"/>
      <w:bookmarkEnd w:id="0"/>
    </w:p>
    <w:sectPr w:rsidR="004456DD" w:rsidRPr="009E51FC"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5F8" w:rsidRDefault="006025F8" w:rsidP="004A6D2F">
      <w:r>
        <w:separator/>
      </w:r>
    </w:p>
  </w:endnote>
  <w:endnote w:type="continuationSeparator" w:id="0">
    <w:p w:rsidR="006025F8" w:rsidRDefault="006025F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8AC" w:rsidRDefault="003948AC" w:rsidP="004A6D2F">
    <w:pPr>
      <w:pStyle w:val="Footer"/>
    </w:pPr>
    <w:r>
      <w:t>Do not use a footer or page numbers.</w:t>
    </w:r>
  </w:p>
  <w:p w:rsidR="003948AC" w:rsidRDefault="003948AC" w:rsidP="004A6D2F">
    <w:pPr>
      <w:pStyle w:val="Footer"/>
    </w:pPr>
  </w:p>
  <w:p w:rsidR="003948AC" w:rsidRDefault="003948AC"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8AC" w:rsidRDefault="003948AC"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5F8" w:rsidRDefault="006025F8" w:rsidP="004A6D2F">
      <w:r>
        <w:separator/>
      </w:r>
    </w:p>
  </w:footnote>
  <w:footnote w:type="continuationSeparator" w:id="0">
    <w:p w:rsidR="006025F8" w:rsidRDefault="006025F8"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8AC" w:rsidRDefault="003948AC" w:rsidP="00D5547E">
    <w:pPr>
      <w:pStyle w:val="Header"/>
      <w:jc w:val="right"/>
    </w:pPr>
    <w:r>
      <w:rPr>
        <w:noProof/>
      </w:rPr>
      <w:drawing>
        <wp:inline distT="0" distB="0" distL="0" distR="0">
          <wp:extent cx="838200" cy="1114425"/>
          <wp:effectExtent l="0" t="0" r="0" b="952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C9E275C"/>
    <w:multiLevelType w:val="hybridMultilevel"/>
    <w:tmpl w:val="DEE0EF60"/>
    <w:lvl w:ilvl="0" w:tplc="69067A1A">
      <w:start w:val="1"/>
      <w:numFmt w:val="decimal"/>
      <w:lvlText w:val="%1."/>
      <w:lvlJc w:val="left"/>
      <w:pPr>
        <w:tabs>
          <w:tab w:val="num" w:pos="502"/>
        </w:tabs>
        <w:ind w:left="502" w:hanging="360"/>
      </w:pPr>
      <w:rPr>
        <w:i w:val="0"/>
        <w:color w:val="auto"/>
      </w:rPr>
    </w:lvl>
    <w:lvl w:ilvl="1" w:tplc="08090001">
      <w:start w:val="1"/>
      <w:numFmt w:val="bullet"/>
      <w:lvlText w:val=""/>
      <w:lvlJc w:val="left"/>
      <w:pPr>
        <w:tabs>
          <w:tab w:val="num" w:pos="1260"/>
        </w:tabs>
        <w:ind w:left="1260" w:hanging="180"/>
      </w:pPr>
      <w:rPr>
        <w:rFonts w:ascii="Symbol" w:hAnsi="Symbol" w:hint="default"/>
        <w:i w:val="0"/>
      </w:rPr>
    </w:lvl>
    <w:lvl w:ilvl="2" w:tplc="397E18B4">
      <w:start w:val="6"/>
      <w:numFmt w:val="bullet"/>
      <w:lvlText w:val=""/>
      <w:lvlJc w:val="left"/>
      <w:pPr>
        <w:tabs>
          <w:tab w:val="num" w:pos="2547"/>
        </w:tabs>
        <w:ind w:left="2547" w:hanging="567"/>
      </w:pPr>
      <w:rPr>
        <w:rFonts w:ascii="Symbol" w:hAnsi="Symbol" w:cs="Times New Roman" w:hint="default"/>
        <w:spacing w:val="80"/>
        <w:kern w:val="16"/>
        <w:sz w:val="36"/>
        <w:effect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4356CB"/>
    <w:multiLevelType w:val="hybridMultilevel"/>
    <w:tmpl w:val="72164230"/>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5D44DC"/>
    <w:multiLevelType w:val="multilevel"/>
    <w:tmpl w:val="F170141E"/>
    <w:lvl w:ilvl="0">
      <w:start w:val="1"/>
      <w:numFmt w:val="bullet"/>
      <w:lvlText w:val=""/>
      <w:lvlJc w:val="left"/>
      <w:pPr>
        <w:ind w:left="1286" w:hanging="360"/>
      </w:pPr>
      <w:rPr>
        <w:rFonts w:ascii="Symbol" w:hAnsi="Symbol" w:hint="default"/>
        <w:color w:val="000000"/>
        <w:sz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31">
    <w:nsid w:val="62A22831"/>
    <w:multiLevelType w:val="multilevel"/>
    <w:tmpl w:val="43D6D2FA"/>
    <w:numStyleLink w:val="StyleBulletedSymbolsymbolLeft063cmHanging063cm"/>
  </w:abstractNum>
  <w:abstractNum w:abstractNumId="32">
    <w:nsid w:val="63766488"/>
    <w:multiLevelType w:val="multilevel"/>
    <w:tmpl w:val="F170141E"/>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3F50B2"/>
    <w:multiLevelType w:val="hybridMultilevel"/>
    <w:tmpl w:val="087AB3E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98365C6"/>
    <w:multiLevelType w:val="multilevel"/>
    <w:tmpl w:val="E67CE66C"/>
    <w:numStyleLink w:val="StyleNumberedLeft0cmHanging075cm"/>
  </w:abstractNum>
  <w:num w:numId="1">
    <w:abstractNumId w:val="27"/>
  </w:num>
  <w:num w:numId="2">
    <w:abstractNumId w:val="34"/>
  </w:num>
  <w:num w:numId="3">
    <w:abstractNumId w:val="23"/>
  </w:num>
  <w:num w:numId="4">
    <w:abstractNumId w:val="18"/>
  </w:num>
  <w:num w:numId="5">
    <w:abstractNumId w:val="29"/>
  </w:num>
  <w:num w:numId="6">
    <w:abstractNumId w:val="36"/>
  </w:num>
  <w:num w:numId="7">
    <w:abstractNumId w:val="22"/>
  </w:num>
  <w:num w:numId="8">
    <w:abstractNumId w:val="19"/>
  </w:num>
  <w:num w:numId="9">
    <w:abstractNumId w:val="13"/>
  </w:num>
  <w:num w:numId="10">
    <w:abstractNumId w:val="15"/>
  </w:num>
  <w:num w:numId="11">
    <w:abstractNumId w:val="25"/>
  </w:num>
  <w:num w:numId="12">
    <w:abstractNumId w:val="24"/>
  </w:num>
  <w:num w:numId="13">
    <w:abstractNumId w:val="10"/>
  </w:num>
  <w:num w:numId="14">
    <w:abstractNumId w:val="37"/>
  </w:num>
  <w:num w:numId="15">
    <w:abstractNumId w:val="16"/>
  </w:num>
  <w:num w:numId="16">
    <w:abstractNumId w:val="11"/>
  </w:num>
  <w:num w:numId="17">
    <w:abstractNumId w:val="28"/>
  </w:num>
  <w:num w:numId="18">
    <w:abstractNumId w:val="12"/>
  </w:num>
  <w:num w:numId="19">
    <w:abstractNumId w:val="31"/>
  </w:num>
  <w:num w:numId="20">
    <w:abstractNumId w:val="17"/>
  </w:num>
  <w:num w:numId="21">
    <w:abstractNumId w:val="21"/>
  </w:num>
  <w:num w:numId="22">
    <w:abstractNumId w:val="14"/>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6"/>
  </w:num>
  <w:num w:numId="35">
    <w:abstractNumId w:val="30"/>
  </w:num>
  <w:num w:numId="36">
    <w:abstractNumId w:val="32"/>
  </w:num>
  <w:num w:numId="37">
    <w:abstractNumId w:val="20"/>
  </w:num>
  <w:num w:numId="38">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31CC"/>
    <w:rsid w:val="000117D4"/>
    <w:rsid w:val="00025838"/>
    <w:rsid w:val="000314D7"/>
    <w:rsid w:val="00045F8B"/>
    <w:rsid w:val="00046D2B"/>
    <w:rsid w:val="0004715F"/>
    <w:rsid w:val="00054C4D"/>
    <w:rsid w:val="00056263"/>
    <w:rsid w:val="00062FC9"/>
    <w:rsid w:val="00064D8A"/>
    <w:rsid w:val="00064F82"/>
    <w:rsid w:val="00066510"/>
    <w:rsid w:val="00077523"/>
    <w:rsid w:val="000B39A5"/>
    <w:rsid w:val="000C089F"/>
    <w:rsid w:val="000C3928"/>
    <w:rsid w:val="000C5E8E"/>
    <w:rsid w:val="000F4751"/>
    <w:rsid w:val="00100D19"/>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09B"/>
    <w:rsid w:val="001A5731"/>
    <w:rsid w:val="001B16E2"/>
    <w:rsid w:val="001B42C3"/>
    <w:rsid w:val="001B6F05"/>
    <w:rsid w:val="001C2FA1"/>
    <w:rsid w:val="001C5D5E"/>
    <w:rsid w:val="001D1833"/>
    <w:rsid w:val="001D678D"/>
    <w:rsid w:val="001E03F8"/>
    <w:rsid w:val="001E1678"/>
    <w:rsid w:val="001E3376"/>
    <w:rsid w:val="002069B3"/>
    <w:rsid w:val="002329CF"/>
    <w:rsid w:val="00232F5B"/>
    <w:rsid w:val="00240F69"/>
    <w:rsid w:val="00247C29"/>
    <w:rsid w:val="00260467"/>
    <w:rsid w:val="00263EA3"/>
    <w:rsid w:val="002766F5"/>
    <w:rsid w:val="00284F85"/>
    <w:rsid w:val="00290915"/>
    <w:rsid w:val="002A22E2"/>
    <w:rsid w:val="002A37DD"/>
    <w:rsid w:val="002C64F7"/>
    <w:rsid w:val="002D4552"/>
    <w:rsid w:val="002F41F2"/>
    <w:rsid w:val="002F5B4D"/>
    <w:rsid w:val="00301501"/>
    <w:rsid w:val="00301BF3"/>
    <w:rsid w:val="0030208D"/>
    <w:rsid w:val="00307033"/>
    <w:rsid w:val="00323418"/>
    <w:rsid w:val="003357BF"/>
    <w:rsid w:val="003623E2"/>
    <w:rsid w:val="00364FAD"/>
    <w:rsid w:val="0036738F"/>
    <w:rsid w:val="0036759C"/>
    <w:rsid w:val="00367AE5"/>
    <w:rsid w:val="00367D71"/>
    <w:rsid w:val="0037743F"/>
    <w:rsid w:val="0038150A"/>
    <w:rsid w:val="003948AC"/>
    <w:rsid w:val="003B6E75"/>
    <w:rsid w:val="003B7DA1"/>
    <w:rsid w:val="003C415C"/>
    <w:rsid w:val="003D0379"/>
    <w:rsid w:val="003D2574"/>
    <w:rsid w:val="003D4C59"/>
    <w:rsid w:val="003F4267"/>
    <w:rsid w:val="00404032"/>
    <w:rsid w:val="0040736F"/>
    <w:rsid w:val="00412C1F"/>
    <w:rsid w:val="00421CB2"/>
    <w:rsid w:val="004268B9"/>
    <w:rsid w:val="00433B96"/>
    <w:rsid w:val="0043668A"/>
    <w:rsid w:val="004440F1"/>
    <w:rsid w:val="004456DD"/>
    <w:rsid w:val="00446CDF"/>
    <w:rsid w:val="004521B7"/>
    <w:rsid w:val="00462AB5"/>
    <w:rsid w:val="00465EAF"/>
    <w:rsid w:val="004738C5"/>
    <w:rsid w:val="00491046"/>
    <w:rsid w:val="004A2AC7"/>
    <w:rsid w:val="004A6D2F"/>
    <w:rsid w:val="004C2887"/>
    <w:rsid w:val="004D2626"/>
    <w:rsid w:val="004D6E26"/>
    <w:rsid w:val="004D77D3"/>
    <w:rsid w:val="004E2959"/>
    <w:rsid w:val="004F20EF"/>
    <w:rsid w:val="0050321C"/>
    <w:rsid w:val="0054712D"/>
    <w:rsid w:val="00547EF6"/>
    <w:rsid w:val="005570B5"/>
    <w:rsid w:val="00567E18"/>
    <w:rsid w:val="005708F5"/>
    <w:rsid w:val="00575F5F"/>
    <w:rsid w:val="00581805"/>
    <w:rsid w:val="00585F76"/>
    <w:rsid w:val="005A34E4"/>
    <w:rsid w:val="005B17F2"/>
    <w:rsid w:val="005B7A13"/>
    <w:rsid w:val="005B7FB0"/>
    <w:rsid w:val="005C17B3"/>
    <w:rsid w:val="005C35A5"/>
    <w:rsid w:val="005C4FF3"/>
    <w:rsid w:val="005C577C"/>
    <w:rsid w:val="005D0621"/>
    <w:rsid w:val="005D1E27"/>
    <w:rsid w:val="005D2A3E"/>
    <w:rsid w:val="005E022E"/>
    <w:rsid w:val="005E5215"/>
    <w:rsid w:val="005F7F7E"/>
    <w:rsid w:val="006025F8"/>
    <w:rsid w:val="00614693"/>
    <w:rsid w:val="00623C2F"/>
    <w:rsid w:val="00633578"/>
    <w:rsid w:val="00637068"/>
    <w:rsid w:val="00643CC2"/>
    <w:rsid w:val="00650811"/>
    <w:rsid w:val="00661D3E"/>
    <w:rsid w:val="00692627"/>
    <w:rsid w:val="006969E7"/>
    <w:rsid w:val="006A3643"/>
    <w:rsid w:val="006C2A29"/>
    <w:rsid w:val="006C64CF"/>
    <w:rsid w:val="006D17B1"/>
    <w:rsid w:val="006D4752"/>
    <w:rsid w:val="006D708A"/>
    <w:rsid w:val="006E14C1"/>
    <w:rsid w:val="006F0292"/>
    <w:rsid w:val="006F27FA"/>
    <w:rsid w:val="006F36C1"/>
    <w:rsid w:val="006F416B"/>
    <w:rsid w:val="006F519B"/>
    <w:rsid w:val="00713675"/>
    <w:rsid w:val="00715823"/>
    <w:rsid w:val="00737B93"/>
    <w:rsid w:val="00745BF0"/>
    <w:rsid w:val="007615FE"/>
    <w:rsid w:val="0076655C"/>
    <w:rsid w:val="007703CA"/>
    <w:rsid w:val="0077395B"/>
    <w:rsid w:val="007742DC"/>
    <w:rsid w:val="00791437"/>
    <w:rsid w:val="007B0C2C"/>
    <w:rsid w:val="007B278E"/>
    <w:rsid w:val="007C5C23"/>
    <w:rsid w:val="007D2192"/>
    <w:rsid w:val="007E2A26"/>
    <w:rsid w:val="007F2348"/>
    <w:rsid w:val="00803F07"/>
    <w:rsid w:val="0080749A"/>
    <w:rsid w:val="00821FB8"/>
    <w:rsid w:val="00822ACD"/>
    <w:rsid w:val="00841F4D"/>
    <w:rsid w:val="00855C66"/>
    <w:rsid w:val="00871EE4"/>
    <w:rsid w:val="00886756"/>
    <w:rsid w:val="00890146"/>
    <w:rsid w:val="008A50BD"/>
    <w:rsid w:val="008B293F"/>
    <w:rsid w:val="008B7371"/>
    <w:rsid w:val="008D2323"/>
    <w:rsid w:val="008D3DDB"/>
    <w:rsid w:val="008F573F"/>
    <w:rsid w:val="009034EC"/>
    <w:rsid w:val="0090526E"/>
    <w:rsid w:val="0093067A"/>
    <w:rsid w:val="00941C60"/>
    <w:rsid w:val="009436B2"/>
    <w:rsid w:val="00966D42"/>
    <w:rsid w:val="009678A8"/>
    <w:rsid w:val="00971689"/>
    <w:rsid w:val="00973E90"/>
    <w:rsid w:val="00975B07"/>
    <w:rsid w:val="00980B4A"/>
    <w:rsid w:val="00981D91"/>
    <w:rsid w:val="009A6AD6"/>
    <w:rsid w:val="009D2089"/>
    <w:rsid w:val="009E3D0A"/>
    <w:rsid w:val="009E51FC"/>
    <w:rsid w:val="009F1D28"/>
    <w:rsid w:val="009F7618"/>
    <w:rsid w:val="00A04D23"/>
    <w:rsid w:val="00A06766"/>
    <w:rsid w:val="00A07272"/>
    <w:rsid w:val="00A13765"/>
    <w:rsid w:val="00A21B12"/>
    <w:rsid w:val="00A23F80"/>
    <w:rsid w:val="00A27956"/>
    <w:rsid w:val="00A46E98"/>
    <w:rsid w:val="00A6352B"/>
    <w:rsid w:val="00A701B5"/>
    <w:rsid w:val="00A714BB"/>
    <w:rsid w:val="00A85E45"/>
    <w:rsid w:val="00A92D8F"/>
    <w:rsid w:val="00AB2988"/>
    <w:rsid w:val="00AB7999"/>
    <w:rsid w:val="00AC0CA1"/>
    <w:rsid w:val="00AC10B7"/>
    <w:rsid w:val="00AC690C"/>
    <w:rsid w:val="00AD3292"/>
    <w:rsid w:val="00AE7AF0"/>
    <w:rsid w:val="00B500CA"/>
    <w:rsid w:val="00B80611"/>
    <w:rsid w:val="00B86314"/>
    <w:rsid w:val="00B96B52"/>
    <w:rsid w:val="00BA0F24"/>
    <w:rsid w:val="00BA1C2E"/>
    <w:rsid w:val="00BC200B"/>
    <w:rsid w:val="00BC4756"/>
    <w:rsid w:val="00BC69A4"/>
    <w:rsid w:val="00BE0680"/>
    <w:rsid w:val="00BE24E6"/>
    <w:rsid w:val="00BE305F"/>
    <w:rsid w:val="00BE7BA3"/>
    <w:rsid w:val="00BF5682"/>
    <w:rsid w:val="00BF7B09"/>
    <w:rsid w:val="00C20A95"/>
    <w:rsid w:val="00C2692F"/>
    <w:rsid w:val="00C3207C"/>
    <w:rsid w:val="00C400E1"/>
    <w:rsid w:val="00C41187"/>
    <w:rsid w:val="00C505DF"/>
    <w:rsid w:val="00C63C31"/>
    <w:rsid w:val="00C63CDF"/>
    <w:rsid w:val="00C757A0"/>
    <w:rsid w:val="00C760DE"/>
    <w:rsid w:val="00C82630"/>
    <w:rsid w:val="00C85B4E"/>
    <w:rsid w:val="00C907F7"/>
    <w:rsid w:val="00CA2103"/>
    <w:rsid w:val="00CB6B99"/>
    <w:rsid w:val="00CD2A56"/>
    <w:rsid w:val="00CE2F57"/>
    <w:rsid w:val="00CE4C87"/>
    <w:rsid w:val="00CE544A"/>
    <w:rsid w:val="00D11E1C"/>
    <w:rsid w:val="00D160B0"/>
    <w:rsid w:val="00D17F94"/>
    <w:rsid w:val="00D223FC"/>
    <w:rsid w:val="00D26D1E"/>
    <w:rsid w:val="00D474CF"/>
    <w:rsid w:val="00D53CEA"/>
    <w:rsid w:val="00D5547E"/>
    <w:rsid w:val="00D665B3"/>
    <w:rsid w:val="00D869A1"/>
    <w:rsid w:val="00D91269"/>
    <w:rsid w:val="00DA413F"/>
    <w:rsid w:val="00DA4584"/>
    <w:rsid w:val="00DA614B"/>
    <w:rsid w:val="00DA63F7"/>
    <w:rsid w:val="00DB0BD1"/>
    <w:rsid w:val="00DB4E7B"/>
    <w:rsid w:val="00DC3060"/>
    <w:rsid w:val="00DE0FB2"/>
    <w:rsid w:val="00DF093E"/>
    <w:rsid w:val="00DF1D02"/>
    <w:rsid w:val="00E01F42"/>
    <w:rsid w:val="00E206D6"/>
    <w:rsid w:val="00E3366E"/>
    <w:rsid w:val="00E52086"/>
    <w:rsid w:val="00E543A6"/>
    <w:rsid w:val="00E60479"/>
    <w:rsid w:val="00E61D73"/>
    <w:rsid w:val="00E73684"/>
    <w:rsid w:val="00E818D6"/>
    <w:rsid w:val="00E87F7A"/>
    <w:rsid w:val="00E92925"/>
    <w:rsid w:val="00E94DFB"/>
    <w:rsid w:val="00E96BD7"/>
    <w:rsid w:val="00EA0DB1"/>
    <w:rsid w:val="00EA0EE9"/>
    <w:rsid w:val="00EA1ADC"/>
    <w:rsid w:val="00EB5A82"/>
    <w:rsid w:val="00ED52CA"/>
    <w:rsid w:val="00ED5860"/>
    <w:rsid w:val="00EE35C9"/>
    <w:rsid w:val="00F05ECA"/>
    <w:rsid w:val="00F133FC"/>
    <w:rsid w:val="00F3566E"/>
    <w:rsid w:val="00F375FB"/>
    <w:rsid w:val="00F41AC1"/>
    <w:rsid w:val="00F4367A"/>
    <w:rsid w:val="00F445B1"/>
    <w:rsid w:val="00F45CD4"/>
    <w:rsid w:val="00F66DCA"/>
    <w:rsid w:val="00F74F53"/>
    <w:rsid w:val="00F7606D"/>
    <w:rsid w:val="00F81670"/>
    <w:rsid w:val="00F817ED"/>
    <w:rsid w:val="00F82024"/>
    <w:rsid w:val="00F8363E"/>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1633B-4A1D-493A-B11C-67FCF69DE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2894</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abrown2</cp:lastModifiedBy>
  <cp:revision>6</cp:revision>
  <cp:lastPrinted>2015-07-03T12:50:00Z</cp:lastPrinted>
  <dcterms:created xsi:type="dcterms:W3CDTF">2016-08-10T15:59:00Z</dcterms:created>
  <dcterms:modified xsi:type="dcterms:W3CDTF">2016-08-25T14:50:00Z</dcterms:modified>
</cp:coreProperties>
</file>